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64" w:rsidRDefault="00DA2564">
      <w:pPr>
        <w:pStyle w:val="2"/>
        <w:suppressAutoHyphens/>
        <w:ind w:right="-1"/>
        <w:jc w:val="right"/>
        <w:rPr>
          <w:b w:val="0"/>
          <w:sz w:val="28"/>
          <w:szCs w:val="28"/>
        </w:rPr>
      </w:pPr>
    </w:p>
    <w:p w:rsidR="00DA2564" w:rsidRDefault="00DA2564">
      <w:pPr>
        <w:pStyle w:val="a9"/>
        <w:pBdr>
          <w:bottom w:val="thickThinSmallGap" w:sz="24" w:space="1" w:color="622423"/>
        </w:pBdr>
        <w:jc w:val="center"/>
        <w:rPr>
          <w:rFonts w:eastAsia="Times New Roman" w:cs="Times New Roman"/>
          <w:b/>
          <w:color w:val="auto"/>
          <w:lang w:val="ru-RU"/>
        </w:rPr>
      </w:pPr>
    </w:p>
    <w:p w:rsidR="00DA2564" w:rsidRDefault="005A7FBD">
      <w:pPr>
        <w:pStyle w:val="a9"/>
        <w:pBdr>
          <w:bottom w:val="thickThinSmallGap" w:sz="24" w:space="1" w:color="622423"/>
        </w:pBdr>
        <w:jc w:val="center"/>
        <w:rPr>
          <w:rFonts w:eastAsia="Times New Roman" w:cs="Times New Roman"/>
          <w:b/>
          <w:lang w:val="ru-RU"/>
        </w:rPr>
      </w:pPr>
      <w:r>
        <w:rPr>
          <w:rFonts w:eastAsia="Times New Roman" w:cs="Times New Roman"/>
          <w:b/>
          <w:color w:val="auto"/>
          <w:lang w:val="ru-RU"/>
        </w:rPr>
        <w:t>ТЕХНИЧЕСКОЕ ЗАДАНИЕ</w:t>
      </w:r>
    </w:p>
    <w:p w:rsidR="00DA2564" w:rsidRDefault="005A7FBD">
      <w:pPr>
        <w:pStyle w:val="a9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на выполнение проектных работ по объекту </w:t>
      </w:r>
    </w:p>
    <w:p w:rsidR="00DA2564" w:rsidRDefault="005A7FBD">
      <w:pPr>
        <w:pStyle w:val="a9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«Электрические сети до энергопринимающих устройств</w:t>
      </w:r>
    </w:p>
    <w:p w:rsidR="00DA2564" w:rsidRDefault="005A7FBD">
      <w:pPr>
        <w:pStyle w:val="a9"/>
        <w:jc w:val="center"/>
        <w:rPr>
          <w:b/>
          <w:sz w:val="28"/>
          <w:szCs w:val="28"/>
          <w:lang w:val="ru-RU"/>
        </w:rPr>
      </w:pPr>
      <w:r>
        <w:rPr>
          <w:b/>
          <w:color w:val="auto"/>
          <w:lang w:val="ru-RU"/>
        </w:rPr>
        <w:t>ООО «Цифровые Технологии»</w:t>
      </w:r>
      <w:r>
        <w:rPr>
          <w:b/>
          <w:color w:val="auto"/>
          <w:sz w:val="28"/>
          <w:szCs w:val="28"/>
          <w:lang w:val="ru-RU"/>
        </w:rPr>
        <w:t xml:space="preserve"> </w:t>
      </w:r>
    </w:p>
    <w:p w:rsidR="00DA2564" w:rsidRDefault="00DA2564">
      <w:pPr>
        <w:pStyle w:val="a9"/>
        <w:jc w:val="right"/>
        <w:rPr>
          <w:b/>
          <w:sz w:val="22"/>
          <w:szCs w:val="22"/>
          <w:lang w:val="ru-RU"/>
        </w:rPr>
      </w:pPr>
      <w:bookmarkStart w:id="0" w:name="_GoBack"/>
      <w:bookmarkEnd w:id="0"/>
    </w:p>
    <w:tbl>
      <w:tblPr>
        <w:tblW w:w="10348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048"/>
        <w:gridCol w:w="6733"/>
      </w:tblGrid>
      <w:tr w:rsidR="00DA2564">
        <w:trPr>
          <w:tblHeader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2564" w:rsidRDefault="005A7FBD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DA2564" w:rsidRDefault="005A7FBD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п.п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3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2564" w:rsidRDefault="005A7FBD">
            <w:pPr>
              <w:pStyle w:val="a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2564" w:rsidRDefault="005A7FBD">
            <w:pPr>
              <w:pStyle w:val="a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Содержание</w:t>
            </w:r>
          </w:p>
        </w:tc>
      </w:tr>
      <w:tr w:rsidR="00DA2564">
        <w:tc>
          <w:tcPr>
            <w:tcW w:w="10348" w:type="dxa"/>
            <w:gridSpan w:val="3"/>
          </w:tcPr>
          <w:p w:rsidR="00DA2564" w:rsidRDefault="005A7FBD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</w:rPr>
              <w:t>Общие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данные</w:t>
            </w:r>
            <w:proofErr w:type="spellEnd"/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</w:pPr>
            <w:r>
              <w:t>1.1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color w:val="auto"/>
              </w:rPr>
              <w:t>Основани</w:t>
            </w:r>
            <w:proofErr w:type="spellEnd"/>
            <w:r>
              <w:rPr>
                <w:rFonts w:eastAsia="Times New Roman" w:cs="Times New Roman"/>
                <w:b/>
                <w:color w:val="auto"/>
                <w:lang w:val="ru-RU"/>
              </w:rPr>
              <w:t>е</w:t>
            </w:r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auto"/>
              </w:rPr>
              <w:t>для</w:t>
            </w:r>
            <w:proofErr w:type="spellEnd"/>
            <w:r>
              <w:rPr>
                <w:rFonts w:eastAsia="Times New Roman" w:cs="Times New Roman"/>
                <w:b/>
                <w:color w:val="auto"/>
                <w:lang w:val="ru-RU"/>
              </w:rPr>
              <w:t xml:space="preserve"> проектирования</w:t>
            </w:r>
          </w:p>
          <w:p w:rsidR="00DA2564" w:rsidRDefault="00DA256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ind w:right="85" w:firstLine="297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1. Федеральный закон РФ от 22.07.2005 № 116-ФЗ «Об особых экономических зонах в РФ».</w:t>
            </w:r>
          </w:p>
          <w:p w:rsidR="00DA2564" w:rsidRDefault="005A7FBD">
            <w:pPr>
              <w:ind w:right="87" w:firstLine="297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 xml:space="preserve">2. Постановление Правительства РФ от 21.12.2005 № 782 «О создании на территории </w:t>
            </w:r>
            <w:proofErr w:type="spellStart"/>
            <w:r>
              <w:rPr>
                <w:rFonts w:eastAsia="Times New Roman" w:cs="Times New Roman"/>
                <w:color w:val="auto"/>
                <w:lang w:val="ru-RU"/>
              </w:rPr>
              <w:t>Грязинского</w:t>
            </w:r>
            <w:proofErr w:type="spellEnd"/>
            <w:r>
              <w:rPr>
                <w:rFonts w:eastAsia="Times New Roman" w:cs="Times New Roman"/>
                <w:color w:val="auto"/>
                <w:lang w:val="ru-RU"/>
              </w:rPr>
              <w:t xml:space="preserve"> района Липецкой области ОЭЗ промышленно-производственного типа».</w:t>
            </w:r>
          </w:p>
          <w:p w:rsidR="00DA2564" w:rsidRDefault="005A7FBD">
            <w:pPr>
              <w:ind w:right="87" w:firstLine="297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 xml:space="preserve">3. Соглашение от 18.01.2006 № 6677-ГГ «О создании на территории </w:t>
            </w:r>
            <w:proofErr w:type="spellStart"/>
            <w:r>
              <w:rPr>
                <w:rFonts w:eastAsia="Times New Roman" w:cs="Times New Roman"/>
                <w:color w:val="auto"/>
                <w:lang w:val="ru-RU"/>
              </w:rPr>
              <w:t>Грязинского</w:t>
            </w:r>
            <w:proofErr w:type="spellEnd"/>
            <w:r>
              <w:rPr>
                <w:rFonts w:eastAsia="Times New Roman" w:cs="Times New Roman"/>
                <w:color w:val="auto"/>
                <w:lang w:val="ru-RU"/>
              </w:rPr>
              <w:t xml:space="preserve"> района Липецкой области ОЭЗ промышленно-производственного типа». </w:t>
            </w:r>
          </w:p>
          <w:p w:rsidR="00DA2564" w:rsidRDefault="005A7FBD">
            <w:pPr>
              <w:ind w:right="87" w:firstLine="297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 xml:space="preserve">4. Распоряжение администрации Липецкой области от 25.10.2006 № 838 «Об утверждении проекта планировки ОЭЗ ППТ «Казинка» на территории </w:t>
            </w:r>
            <w:proofErr w:type="spellStart"/>
            <w:r>
              <w:rPr>
                <w:rFonts w:eastAsia="Times New Roman" w:cs="Times New Roman"/>
                <w:color w:val="auto"/>
                <w:lang w:val="ru-RU"/>
              </w:rPr>
              <w:t>Грязинского</w:t>
            </w:r>
            <w:proofErr w:type="spellEnd"/>
            <w:r>
              <w:rPr>
                <w:rFonts w:eastAsia="Times New Roman" w:cs="Times New Roman"/>
                <w:color w:val="auto"/>
                <w:lang w:val="ru-RU"/>
              </w:rPr>
              <w:t xml:space="preserve"> района Липецкой области». </w:t>
            </w:r>
          </w:p>
          <w:p w:rsidR="00DA2564" w:rsidRDefault="005A7FBD">
            <w:pPr>
              <w:ind w:right="87" w:firstLine="297"/>
              <w:jc w:val="both"/>
              <w:rPr>
                <w:color w:val="auto"/>
                <w:szCs w:val="26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 xml:space="preserve">5. </w:t>
            </w:r>
            <w:r>
              <w:rPr>
                <w:color w:val="auto"/>
                <w:szCs w:val="26"/>
                <w:lang w:val="ru-RU"/>
              </w:rPr>
              <w:t xml:space="preserve">Распоряжение Главы администрации </w:t>
            </w:r>
            <w:proofErr w:type="spellStart"/>
            <w:r>
              <w:rPr>
                <w:color w:val="auto"/>
                <w:szCs w:val="26"/>
                <w:lang w:val="ru-RU"/>
              </w:rPr>
              <w:t>Грязинского</w:t>
            </w:r>
            <w:proofErr w:type="spellEnd"/>
            <w:r>
              <w:rPr>
                <w:color w:val="auto"/>
                <w:szCs w:val="26"/>
                <w:lang w:val="ru-RU"/>
              </w:rPr>
              <w:t xml:space="preserve"> района от 22.05.2006 № 89 «О проектировании особой экономической зоны «Казинка» </w:t>
            </w:r>
            <w:proofErr w:type="spellStart"/>
            <w:r>
              <w:rPr>
                <w:color w:val="auto"/>
                <w:szCs w:val="26"/>
                <w:lang w:val="ru-RU"/>
              </w:rPr>
              <w:t>Грязинского</w:t>
            </w:r>
            <w:proofErr w:type="spellEnd"/>
            <w:r>
              <w:rPr>
                <w:color w:val="auto"/>
                <w:szCs w:val="26"/>
                <w:lang w:val="ru-RU"/>
              </w:rPr>
              <w:t xml:space="preserve"> района Липецкой области». </w:t>
            </w:r>
          </w:p>
          <w:p w:rsidR="00DA2564" w:rsidRDefault="005A7FBD">
            <w:pPr>
              <w:ind w:right="87" w:firstLine="297"/>
              <w:jc w:val="both"/>
              <w:rPr>
                <w:color w:val="auto"/>
                <w:szCs w:val="26"/>
                <w:lang w:val="ru-RU"/>
              </w:rPr>
            </w:pPr>
            <w:r>
              <w:rPr>
                <w:color w:val="auto"/>
                <w:szCs w:val="26"/>
                <w:lang w:val="ru-RU"/>
              </w:rPr>
              <w:t xml:space="preserve">6. Распоряжение Главы администрации </w:t>
            </w:r>
            <w:proofErr w:type="spellStart"/>
            <w:r>
              <w:rPr>
                <w:color w:val="auto"/>
                <w:szCs w:val="26"/>
                <w:lang w:val="ru-RU"/>
              </w:rPr>
              <w:t>Грязинского</w:t>
            </w:r>
            <w:proofErr w:type="spellEnd"/>
            <w:r>
              <w:rPr>
                <w:color w:val="auto"/>
                <w:szCs w:val="26"/>
                <w:lang w:val="ru-RU"/>
              </w:rPr>
              <w:t xml:space="preserve"> района от 15.06.2006 № 153 «Об утверждении градостроительного плана земельного участка особой экономической зоны «Казинка» </w:t>
            </w:r>
            <w:proofErr w:type="spellStart"/>
            <w:r>
              <w:rPr>
                <w:color w:val="auto"/>
                <w:szCs w:val="26"/>
                <w:lang w:val="ru-RU"/>
              </w:rPr>
              <w:t>Грязинского</w:t>
            </w:r>
            <w:proofErr w:type="spellEnd"/>
            <w:r>
              <w:rPr>
                <w:color w:val="auto"/>
                <w:szCs w:val="26"/>
                <w:lang w:val="ru-RU"/>
              </w:rPr>
              <w:t xml:space="preserve"> района».</w:t>
            </w:r>
          </w:p>
          <w:p w:rsidR="00DA2564" w:rsidRDefault="005A7FBD">
            <w:pPr>
              <w:ind w:right="87" w:firstLine="297"/>
              <w:jc w:val="both"/>
              <w:rPr>
                <w:color w:val="auto"/>
                <w:szCs w:val="26"/>
                <w:lang w:val="ru-RU"/>
              </w:rPr>
            </w:pPr>
            <w:r>
              <w:rPr>
                <w:color w:val="auto"/>
                <w:szCs w:val="26"/>
                <w:lang w:val="ru-RU"/>
              </w:rPr>
              <w:t>7. Постановление администрации Липецкой области от 08.02.2006 № 13 «О переводе земельных участков территории особой экономической зоны из одной категории в другую».</w:t>
            </w:r>
          </w:p>
          <w:p w:rsidR="00DA2564" w:rsidRDefault="005A7FBD">
            <w:pPr>
              <w:ind w:right="87" w:firstLine="297"/>
              <w:jc w:val="both"/>
              <w:rPr>
                <w:color w:val="auto"/>
                <w:szCs w:val="26"/>
                <w:lang w:val="ru-RU"/>
              </w:rPr>
            </w:pPr>
            <w:r>
              <w:rPr>
                <w:color w:val="auto"/>
                <w:szCs w:val="26"/>
                <w:lang w:val="ru-RU"/>
              </w:rPr>
              <w:t>8. Соглашение о порядке взаимодействия сторон до заключения договора об осуществлении технологического присоединения по индивидуальному проекту от 14.05.2019 г. между АО «ОЭЗ ППТ «Липецк» и ООО «</w:t>
            </w:r>
            <w:r>
              <w:rPr>
                <w:color w:val="auto"/>
                <w:lang w:val="ru-RU"/>
              </w:rPr>
              <w:t>Цифровые Технологии».</w:t>
            </w:r>
          </w:p>
          <w:p w:rsidR="00DA2564" w:rsidRDefault="00DA2564">
            <w:pPr>
              <w:ind w:left="39" w:right="87" w:firstLine="141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 xml:space="preserve">Заказчик </w:t>
            </w:r>
          </w:p>
          <w:p w:rsidR="00DA2564" w:rsidRDefault="00DA2564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ind w:right="84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Акционерное общество «Особая экономическая зона промышленно-производственного типа «Липецк» (АО «ОЭЗ ППТ «Липецк»).</w:t>
            </w:r>
          </w:p>
          <w:p w:rsidR="00DA2564" w:rsidRDefault="005A7FBD">
            <w:pPr>
              <w:ind w:right="84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Юридический адрес: РФ, Липецкая область, </w:t>
            </w:r>
            <w:proofErr w:type="spellStart"/>
            <w:r>
              <w:rPr>
                <w:lang w:val="ru-RU"/>
              </w:rPr>
              <w:t>Грязинский</w:t>
            </w:r>
            <w:proofErr w:type="spellEnd"/>
            <w:r>
              <w:rPr>
                <w:lang w:val="ru-RU"/>
              </w:rPr>
              <w:t xml:space="preserve"> район, с. Казинка, территория ОЭЗ ППТ Липецк, здание 2.</w:t>
            </w:r>
          </w:p>
          <w:p w:rsidR="00DA2564" w:rsidRDefault="005A7FBD">
            <w:pPr>
              <w:ind w:right="84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Почтовый адрес: 399071, Липецкая область, </w:t>
            </w:r>
            <w:proofErr w:type="spellStart"/>
            <w:r>
              <w:rPr>
                <w:lang w:val="ru-RU"/>
              </w:rPr>
              <w:t>Грязинский</w:t>
            </w:r>
            <w:proofErr w:type="spellEnd"/>
            <w:r>
              <w:rPr>
                <w:lang w:val="ru-RU"/>
              </w:rPr>
              <w:t xml:space="preserve"> район, с. Казинка, территория ОЭЗ ППТ Липецк, здание 2.</w:t>
            </w:r>
          </w:p>
          <w:p w:rsidR="00DA2564" w:rsidRDefault="00DA2564">
            <w:pPr>
              <w:ind w:firstLine="228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3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b/>
                <w:color w:val="auto"/>
              </w:rPr>
            </w:pPr>
            <w:proofErr w:type="spellStart"/>
            <w:r>
              <w:rPr>
                <w:rFonts w:eastAsia="Times New Roman" w:cs="Times New Roman"/>
                <w:b/>
                <w:color w:val="auto"/>
              </w:rPr>
              <w:t>Источник</w:t>
            </w:r>
            <w:proofErr w:type="spellEnd"/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auto"/>
              </w:rPr>
              <w:t>финансирования</w:t>
            </w:r>
            <w:proofErr w:type="spellEnd"/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ind w:right="84" w:firstLine="297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Средства АО «ОЭЗ ППТ «Липецк» на технологическое присоединение.</w:t>
            </w:r>
          </w:p>
          <w:p w:rsidR="00DA2564" w:rsidRDefault="00DA2564">
            <w:pPr>
              <w:ind w:right="84" w:firstLine="18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4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Подрядчик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ind w:right="84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Организация должна иметь право на осуществление данного вида деятельности.</w:t>
            </w:r>
          </w:p>
          <w:p w:rsidR="00DA2564" w:rsidRDefault="00DA2564">
            <w:pPr>
              <w:pStyle w:val="a3"/>
              <w:ind w:right="154" w:firstLine="86"/>
              <w:jc w:val="both"/>
              <w:rPr>
                <w:color w:val="auto"/>
                <w:lang w:val="ru-RU"/>
              </w:rPr>
            </w:pPr>
          </w:p>
        </w:tc>
      </w:tr>
      <w:tr w:rsidR="00DA256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1.5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 xml:space="preserve">Сведения об участке строительства 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ind w:left="16" w:right="84" w:firstLine="281"/>
              <w:jc w:val="both"/>
              <w:rPr>
                <w:color w:val="auto"/>
                <w:spacing w:val="-2"/>
                <w:lang w:val="ru-RU"/>
              </w:rPr>
            </w:pPr>
            <w:r>
              <w:rPr>
                <w:color w:val="auto"/>
                <w:spacing w:val="-2"/>
                <w:lang w:val="ru-RU"/>
              </w:rPr>
              <w:t xml:space="preserve">Участок расположен на территории </w:t>
            </w:r>
            <w:r>
              <w:rPr>
                <w:color w:val="auto"/>
                <w:spacing w:val="-2"/>
              </w:rPr>
              <w:t>II</w:t>
            </w:r>
            <w:r>
              <w:rPr>
                <w:color w:val="auto"/>
                <w:spacing w:val="-2"/>
                <w:lang w:val="ru-RU"/>
              </w:rPr>
              <w:t xml:space="preserve"> очереди строительства ОЭЗ ППТ «Липецк» в </w:t>
            </w:r>
            <w:proofErr w:type="spellStart"/>
            <w:r>
              <w:rPr>
                <w:color w:val="auto"/>
                <w:spacing w:val="-2"/>
                <w:lang w:val="ru-RU"/>
              </w:rPr>
              <w:t>Грязинском</w:t>
            </w:r>
            <w:proofErr w:type="spellEnd"/>
            <w:r>
              <w:rPr>
                <w:color w:val="auto"/>
                <w:spacing w:val="-2"/>
                <w:lang w:val="ru-RU"/>
              </w:rPr>
              <w:t xml:space="preserve"> районе, Липецкой области, от пос. </w:t>
            </w:r>
            <w:proofErr w:type="spellStart"/>
            <w:r>
              <w:rPr>
                <w:color w:val="auto"/>
                <w:spacing w:val="-2"/>
                <w:lang w:val="ru-RU"/>
              </w:rPr>
              <w:t>Матырский</w:t>
            </w:r>
            <w:proofErr w:type="spellEnd"/>
            <w:r>
              <w:rPr>
                <w:color w:val="auto"/>
                <w:spacing w:val="-2"/>
                <w:lang w:val="ru-RU"/>
              </w:rPr>
              <w:t xml:space="preserve"> до г. Грязи по правую сторону автодороги «Липецк – Грязи». На северо-востоке граничит с автодорогой «Липецк – Грязи», на юго-западе – с железной дорогой «Липецк – Грязи». Участок не тронут хозяйственным освоением.</w:t>
            </w:r>
          </w:p>
          <w:p w:rsidR="00DA2564" w:rsidRDefault="00DA2564">
            <w:pPr>
              <w:ind w:right="154" w:firstLine="228"/>
              <w:jc w:val="both"/>
              <w:rPr>
                <w:color w:val="auto"/>
                <w:spacing w:val="-2"/>
                <w:lang w:val="ru-RU"/>
              </w:rPr>
            </w:pPr>
          </w:p>
        </w:tc>
      </w:tr>
      <w:tr w:rsidR="00DA256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Вид строительства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ind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Новое строительство.</w:t>
            </w: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Исходные данные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464"/>
              </w:tabs>
              <w:ind w:right="85" w:firstLine="297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Заказчик предоставляет:</w:t>
            </w:r>
          </w:p>
          <w:p w:rsidR="00DA2564" w:rsidRDefault="005A7FBD">
            <w:pPr>
              <w:pStyle w:val="2"/>
              <w:ind w:left="0" w:right="84" w:firstLine="297"/>
              <w:jc w:val="both"/>
              <w:rPr>
                <w:b w:val="0"/>
              </w:rPr>
            </w:pPr>
            <w:r>
              <w:rPr>
                <w:b w:val="0"/>
              </w:rPr>
              <w:t xml:space="preserve">1. Схема инженерных сетей </w:t>
            </w:r>
            <w:r>
              <w:rPr>
                <w:b w:val="0"/>
                <w:spacing w:val="-2"/>
              </w:rPr>
              <w:t>II</w:t>
            </w:r>
            <w:r>
              <w:rPr>
                <w:b w:val="0"/>
              </w:rPr>
              <w:t xml:space="preserve"> очереди строительства ОЭЗ ППТ «Липецк».</w:t>
            </w:r>
          </w:p>
          <w:p w:rsidR="00DA2564" w:rsidRDefault="005A7FBD">
            <w:pPr>
              <w:pStyle w:val="2"/>
              <w:ind w:left="0" w:right="84" w:firstLine="297"/>
              <w:jc w:val="both"/>
              <w:rPr>
                <w:b w:val="0"/>
              </w:rPr>
            </w:pPr>
            <w:r>
              <w:rPr>
                <w:b w:val="0"/>
              </w:rPr>
              <w:t xml:space="preserve">2. Материалы проекта на электрические сети </w:t>
            </w:r>
            <w:r>
              <w:rPr>
                <w:b w:val="0"/>
                <w:spacing w:val="-2"/>
              </w:rPr>
              <w:t>II</w:t>
            </w:r>
            <w:r>
              <w:rPr>
                <w:b w:val="0"/>
              </w:rPr>
              <w:t xml:space="preserve"> очереди строительства ОЭЗ ППТ «Липецк».</w:t>
            </w:r>
          </w:p>
          <w:p w:rsidR="00DA2564" w:rsidRDefault="005A7FBD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3. Результаты инженерных изысканий.</w:t>
            </w:r>
          </w:p>
          <w:p w:rsidR="00DA2564" w:rsidRDefault="005A7FBD">
            <w:pPr>
              <w:pStyle w:val="2"/>
              <w:ind w:left="0" w:right="84" w:firstLine="297"/>
              <w:jc w:val="both"/>
              <w:rPr>
                <w:b w:val="0"/>
              </w:rPr>
            </w:pPr>
            <w:r>
              <w:rPr>
                <w:b w:val="0"/>
              </w:rPr>
              <w:t xml:space="preserve">4.Технические условия №43/4/1 от 14.05.2019 г. на </w:t>
            </w:r>
            <w:r>
              <w:rPr>
                <w:b w:val="0"/>
                <w:szCs w:val="26"/>
              </w:rPr>
              <w:t xml:space="preserve">технологическое присоединение к электрическим сетям АО «ОЭЗ ППТ «Липецк» энергопринимающих устройств ООО </w:t>
            </w:r>
            <w:r>
              <w:rPr>
                <w:b w:val="0"/>
              </w:rPr>
              <w:t>«Цифровые Технологии»</w:t>
            </w:r>
            <w:r>
              <w:rPr>
                <w:b w:val="0"/>
                <w:szCs w:val="26"/>
              </w:rPr>
              <w:t>.</w:t>
            </w:r>
          </w:p>
          <w:p w:rsidR="00DA2564" w:rsidRDefault="00DA2564">
            <w:pPr>
              <w:tabs>
                <w:tab w:val="left" w:pos="464"/>
              </w:tabs>
              <w:ind w:left="40" w:right="85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1.8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Состав проекта </w:t>
            </w:r>
          </w:p>
          <w:p w:rsidR="00DA2564" w:rsidRDefault="005A7FBD">
            <w:pPr>
              <w:tabs>
                <w:tab w:val="left" w:pos="972"/>
              </w:tabs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ab/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ind w:left="16" w:right="87" w:firstLine="28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Проект разработать в две стадии: «Проектная документация» и «Рабочая документация». </w:t>
            </w:r>
          </w:p>
          <w:p w:rsidR="00DA2564" w:rsidRDefault="005A7FBD">
            <w:pPr>
              <w:ind w:left="16" w:right="85" w:firstLine="297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Проектную документацию разработать в объёме, достаточном для согласования в СО ЕЭС, а также проведения экспертизы.</w:t>
            </w:r>
          </w:p>
          <w:p w:rsidR="00DA2564" w:rsidRDefault="005A7FBD">
            <w:pPr>
              <w:pStyle w:val="a3"/>
              <w:ind w:left="16" w:right="87" w:firstLine="281"/>
              <w:jc w:val="both"/>
              <w:rPr>
                <w:color w:val="auto"/>
                <w:lang w:val="ru-RU"/>
              </w:rPr>
            </w:pPr>
            <w:r>
              <w:rPr>
                <w:spacing w:val="-2"/>
                <w:lang w:val="ru-RU"/>
              </w:rPr>
              <w:t xml:space="preserve">Рабочую документацию выполнить в объёме, достаточном для реализации </w:t>
            </w:r>
            <w:r>
              <w:rPr>
                <w:lang w:val="ru-RU"/>
              </w:rPr>
              <w:t xml:space="preserve">в процессе выполнения строительно-монтажных работ технических и технологических решений, принятых в «Проектной документации», </w:t>
            </w:r>
            <w:r>
              <w:rPr>
                <w:color w:val="auto"/>
                <w:lang w:val="ru-RU"/>
              </w:rPr>
              <w:t>и ввода объекта в эксплуатацию.</w:t>
            </w:r>
          </w:p>
          <w:p w:rsidR="00DA2564" w:rsidRDefault="005A7FBD">
            <w:pPr>
              <w:tabs>
                <w:tab w:val="left" w:pos="3720"/>
              </w:tabs>
              <w:ind w:left="39" w:right="87" w:firstLine="258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Состав разделов проектной документации и требования к содержанию этих разделов выполнить в соответствии с Градостроительным кодексом, «Положением о составе разделов проектной документации и требованиях к их содержанию», утвержденным Постановлением Правительства РФ от 16.02.2008 № 87 (в действующей редакции) и действующими нормативными техническими требованиями. Состав рабочей документации согласовать с Заказчиком.</w:t>
            </w:r>
          </w:p>
          <w:p w:rsidR="00DA2564" w:rsidRDefault="005A7FBD">
            <w:pPr>
              <w:pStyle w:val="a3"/>
              <w:ind w:left="16" w:right="87" w:firstLine="28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Выполнение и оформление проектной и рабочей документации должно проводиться в соответствии со следующими нормативными документами:</w:t>
            </w:r>
          </w:p>
          <w:p w:rsidR="00DA2564" w:rsidRDefault="005A7FBD">
            <w:pPr>
              <w:pStyle w:val="a3"/>
              <w:ind w:left="16" w:right="87" w:firstLine="297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- ГОСТ Р 21.1101-2013 «Основные требования к проектной и рабочей документации»;</w:t>
            </w:r>
          </w:p>
          <w:p w:rsidR="00DA2564" w:rsidRDefault="005A7FBD">
            <w:pPr>
              <w:suppressLineNumbers/>
              <w:ind w:left="16" w:right="85" w:firstLine="297"/>
              <w:jc w:val="both"/>
              <w:rPr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- </w:t>
            </w:r>
            <w:r>
              <w:rPr>
                <w:lang w:val="ru-RU"/>
              </w:rPr>
              <w:t>распоряжением Правительства РФ от 21.06.2010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:rsidR="00DA2564" w:rsidRDefault="005A7FBD">
            <w:pPr>
              <w:pStyle w:val="a3"/>
              <w:ind w:left="16" w:right="87" w:firstLine="281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- Федеральным законом от 30.12.2009 № 384-ФЗ «Технический регламент о безопасности зданий и сооружений» (в действующей редакции);</w:t>
            </w:r>
          </w:p>
          <w:p w:rsidR="00DA2564" w:rsidRDefault="005A7FBD">
            <w:pPr>
              <w:pStyle w:val="a3"/>
              <w:ind w:left="16" w:right="87" w:firstLine="297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-</w:t>
            </w:r>
            <w:r w:rsidR="00AE3C34">
              <w:rPr>
                <w:rFonts w:cs="Times New Roman"/>
                <w:color w:val="auto"/>
                <w:lang w:val="ru-RU"/>
              </w:rPr>
              <w:t xml:space="preserve"> приказом Росстандарта от 03.06.2019 № 1317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22.07.2008 № 123-ФЗ «Технический регламент о требованиях пожарной безопасности»</w:t>
            </w:r>
            <w:r>
              <w:rPr>
                <w:rFonts w:cs="Times New Roman"/>
                <w:color w:val="auto"/>
                <w:lang w:val="ru-RU"/>
              </w:rPr>
              <w:t>;</w:t>
            </w:r>
          </w:p>
          <w:p w:rsidR="00AE3C34" w:rsidRDefault="00AE3C34" w:rsidP="00AE3C34">
            <w:pPr>
              <w:widowControl/>
              <w:suppressAutoHyphens w:val="0"/>
              <w:autoSpaceDE w:val="0"/>
              <w:autoSpaceDN w:val="0"/>
              <w:adjustRightInd w:val="0"/>
              <w:ind w:firstLine="297"/>
              <w:outlineLvl w:val="0"/>
              <w:rPr>
                <w:rFonts w:eastAsia="Calibri" w:cs="Times New Roman"/>
                <w:color w:val="auto"/>
                <w:lang w:val="ru-RU" w:eastAsia="ru-RU" w:bidi="ar-SA"/>
              </w:rPr>
            </w:pPr>
            <w:r>
              <w:rPr>
                <w:rFonts w:cs="Times New Roman"/>
                <w:color w:val="auto"/>
                <w:lang w:val="ru-RU"/>
              </w:rPr>
              <w:t>ПУЭ «Правила устройства электроустановок». Издание 7</w:t>
            </w:r>
            <w:r>
              <w:rPr>
                <w:rFonts w:eastAsia="Calibri" w:cs="Times New Roman"/>
                <w:color w:val="auto"/>
                <w:lang w:val="ru-RU" w:eastAsia="ru-RU" w:bidi="ar-SA"/>
              </w:rPr>
              <w:t xml:space="preserve"> Утверждены Приказом Минэнерго России от 8 июля 2002 г. N 204</w:t>
            </w:r>
            <w:r>
              <w:rPr>
                <w:color w:val="auto"/>
                <w:lang w:val="ru-RU"/>
              </w:rPr>
              <w:t>;</w:t>
            </w:r>
          </w:p>
          <w:p w:rsidR="00DA2564" w:rsidRDefault="005A7FBD">
            <w:pPr>
              <w:pStyle w:val="a3"/>
              <w:ind w:left="16" w:right="87" w:firstLine="281"/>
              <w:jc w:val="both"/>
              <w:rPr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- </w:t>
            </w:r>
            <w:r>
              <w:rPr>
                <w:color w:val="auto"/>
                <w:lang w:val="ru-RU"/>
              </w:rPr>
              <w:t>постановлением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актам»,</w:t>
            </w:r>
          </w:p>
          <w:p w:rsidR="00DA2564" w:rsidRDefault="005A7FBD">
            <w:pPr>
              <w:pStyle w:val="a3"/>
              <w:ind w:left="16" w:right="8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 также другими действующими государственными стандартами системы проектной документации для строительства (СПДС),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:rsidR="00DA2564" w:rsidRDefault="005A7FBD">
            <w:pPr>
              <w:pStyle w:val="a3"/>
              <w:ind w:left="16" w:right="87" w:firstLine="28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Подрядчик несет ответственность за правильность разработанной документации (всех разделов проекта) независимо от подтверждения (согласования) Заказчиком ПСД.</w:t>
            </w:r>
          </w:p>
          <w:p w:rsidR="00DA2564" w:rsidRDefault="00DA2564">
            <w:pPr>
              <w:pStyle w:val="a3"/>
              <w:ind w:left="1" w:right="87" w:firstLine="141"/>
              <w:jc w:val="both"/>
              <w:rPr>
                <w:color w:val="auto"/>
                <w:lang w:val="ru-RU"/>
              </w:rPr>
            </w:pPr>
          </w:p>
        </w:tc>
      </w:tr>
      <w:tr w:rsidR="00DA2564" w:rsidRPr="0081508C">
        <w:trPr>
          <w:trHeight w:val="9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1.9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rPr>
                <w:i/>
                <w:color w:val="FF0000"/>
                <w:lang w:val="ru-RU"/>
              </w:rPr>
            </w:pPr>
            <w:r>
              <w:rPr>
                <w:b/>
                <w:color w:val="auto"/>
                <w:lang w:val="ru-RU"/>
              </w:rPr>
              <w:t>Сроки проектирования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spacing w:line="216" w:lineRule="auto"/>
              <w:ind w:right="87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 w:eastAsia="ru-RU"/>
              </w:rPr>
              <w:t>С</w:t>
            </w:r>
            <w:r>
              <w:rPr>
                <w:color w:val="auto"/>
                <w:lang w:val="ru-RU"/>
              </w:rPr>
              <w:t xml:space="preserve"> учетом согласования проекта сроки проектирования составляют 60 календарных дней, в том числе:</w:t>
            </w:r>
          </w:p>
          <w:p w:rsidR="00DA2564" w:rsidRDefault="005A7FBD">
            <w:pPr>
              <w:pStyle w:val="a3"/>
              <w:spacing w:line="216" w:lineRule="auto"/>
              <w:ind w:right="87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- проектная документация – с 1 по 45 календарный день;</w:t>
            </w:r>
          </w:p>
          <w:p w:rsidR="00DA2564" w:rsidRDefault="005A7FBD">
            <w:pPr>
              <w:pStyle w:val="a3"/>
              <w:spacing w:line="216" w:lineRule="auto"/>
              <w:ind w:right="87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- рабочая документация – с 1 по 60 календарный день.</w:t>
            </w:r>
          </w:p>
          <w:p w:rsidR="00DA2564" w:rsidRDefault="00DA2564">
            <w:pPr>
              <w:pStyle w:val="a3"/>
              <w:spacing w:line="216" w:lineRule="auto"/>
              <w:ind w:left="39" w:right="87" w:firstLine="47"/>
              <w:jc w:val="both"/>
              <w:rPr>
                <w:color w:val="auto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Перечень и основные показатели объекта</w:t>
            </w:r>
          </w:p>
          <w:p w:rsidR="00DA2564" w:rsidRDefault="00DA2564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3720"/>
              </w:tabs>
              <w:ind w:right="87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Основные технико-экономические показатели уточнить и обосновать проектом.</w:t>
            </w:r>
          </w:p>
          <w:p w:rsidR="00DA2564" w:rsidRDefault="005A7FBD">
            <w:pPr>
              <w:ind w:right="154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Две кабельные линии КЛ-10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от ПС 220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Казинка до РП-10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ООО «Цифровые Технологии» ориентировочной протяженностью по трассе </w:t>
            </w:r>
            <w:r>
              <w:rPr>
                <w:color w:val="000000" w:themeColor="text1"/>
                <w:lang w:val="ru-RU"/>
              </w:rPr>
              <w:t xml:space="preserve">0,350 </w:t>
            </w:r>
            <w:r>
              <w:rPr>
                <w:lang w:val="ru-RU"/>
              </w:rPr>
              <w:t xml:space="preserve">км каждая. </w:t>
            </w:r>
          </w:p>
          <w:p w:rsidR="00DA2564" w:rsidRDefault="00DA2564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t>1.1</w:t>
            </w:r>
            <w:r>
              <w:rPr>
                <w:lang w:val="ru-RU"/>
              </w:rPr>
              <w:t>1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b/>
                <w:color w:val="auto"/>
              </w:rPr>
            </w:pPr>
            <w:proofErr w:type="spellStart"/>
            <w:r>
              <w:rPr>
                <w:rFonts w:eastAsia="Times New Roman" w:cs="Times New Roman"/>
                <w:b/>
                <w:color w:val="auto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auto"/>
              </w:rPr>
              <w:t>строительства</w:t>
            </w:r>
            <w:proofErr w:type="spellEnd"/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ind w:right="85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Начало строительства – 2019 г.</w:t>
            </w:r>
          </w:p>
          <w:p w:rsidR="00DA2564" w:rsidRDefault="005A7FBD">
            <w:pPr>
              <w:pStyle w:val="a3"/>
              <w:ind w:right="85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Сроки строительства принять в соответствии с проектом организации строительства.</w:t>
            </w:r>
          </w:p>
          <w:p w:rsidR="00DA2564" w:rsidRDefault="00DA2564">
            <w:pPr>
              <w:pStyle w:val="a3"/>
              <w:ind w:left="39" w:right="85" w:firstLine="141"/>
              <w:jc w:val="both"/>
              <w:rPr>
                <w:color w:val="auto"/>
                <w:lang w:val="ru-RU"/>
              </w:rPr>
            </w:pPr>
          </w:p>
        </w:tc>
      </w:tr>
      <w:tr w:rsidR="00DA2564" w:rsidRPr="0081508C">
        <w:trPr>
          <w:trHeight w:val="399"/>
        </w:trPr>
        <w:tc>
          <w:tcPr>
            <w:tcW w:w="10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2564" w:rsidRDefault="005A7FBD">
            <w:pPr>
              <w:pStyle w:val="a3"/>
              <w:numPr>
                <w:ilvl w:val="0"/>
                <w:numId w:val="11"/>
              </w:numPr>
              <w:spacing w:line="360" w:lineRule="auto"/>
              <w:ind w:firstLine="141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Основные требования к проектным решениям</w:t>
            </w:r>
          </w:p>
        </w:tc>
      </w:tr>
      <w:tr w:rsidR="00DA2564" w:rsidRPr="0081508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2564" w:rsidRDefault="005A7FBD">
            <w:pPr>
              <w:pStyle w:val="a3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Calibri" w:cs="Times New Roman"/>
                <w:b/>
                <w:color w:val="auto"/>
                <w:lang w:val="ru-RU" w:bidi="ar-SA"/>
              </w:rPr>
            </w:pPr>
            <w:r>
              <w:rPr>
                <w:rFonts w:eastAsia="Calibri" w:cs="Times New Roman"/>
                <w:b/>
                <w:color w:val="auto"/>
                <w:lang w:val="ru-RU" w:bidi="ar-SA"/>
              </w:rPr>
              <w:t>Пояснительная записка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shd w:val="clear" w:color="auto" w:fill="FFFFFF"/>
              <w:tabs>
                <w:tab w:val="left" w:pos="464"/>
              </w:tabs>
              <w:spacing w:line="281" w:lineRule="exact"/>
              <w:ind w:right="85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Разработать в соответствии с п. 34 Постановления Правительства РФ от 16.02.2008 № 87 (в действующей редакции) «О составе разделов проектной документации и требованиях к их содержанию».</w:t>
            </w:r>
          </w:p>
        </w:tc>
      </w:tr>
      <w:tr w:rsidR="00DA256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Calibri" w:cs="Times New Roman"/>
                <w:b/>
                <w:color w:val="auto"/>
                <w:lang w:val="ru-RU"/>
              </w:rPr>
              <w:t>Проект полосы отвода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shd w:val="clear" w:color="auto" w:fill="FFFFFF"/>
              <w:tabs>
                <w:tab w:val="left" w:pos="464"/>
              </w:tabs>
              <w:spacing w:line="281" w:lineRule="exact"/>
              <w:ind w:right="85" w:firstLine="297"/>
              <w:jc w:val="both"/>
              <w:rPr>
                <w:i/>
                <w:color w:val="auto"/>
                <w:sz w:val="20"/>
                <w:lang w:val="ru-RU"/>
              </w:rPr>
            </w:pPr>
            <w:r>
              <w:rPr>
                <w:color w:val="auto"/>
                <w:lang w:val="ru-RU"/>
              </w:rPr>
              <w:t>Выполнить в соответствии с действующими нормами проектирования п. 35 Постановления Правительства РФ от 16.02.2008 № 87 (в действующей редакции) «О составе разделов проектной документации и требованиях к их содержанию».</w:t>
            </w:r>
          </w:p>
          <w:p w:rsidR="00DA2564" w:rsidRDefault="005A7FBD">
            <w:pPr>
              <w:shd w:val="clear" w:color="auto" w:fill="FFFFFF"/>
              <w:tabs>
                <w:tab w:val="left" w:pos="464"/>
              </w:tabs>
              <w:spacing w:line="281" w:lineRule="exact"/>
              <w:ind w:right="85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Разработать и согласовать с эксплуатационными организациями узлы пересечений с существующими инженерными коммуникациями.</w:t>
            </w:r>
          </w:p>
          <w:p w:rsidR="00DA2564" w:rsidRDefault="005A7FBD">
            <w:pPr>
              <w:shd w:val="clear" w:color="auto" w:fill="FFFFFF"/>
              <w:tabs>
                <w:tab w:val="left" w:pos="464"/>
              </w:tabs>
              <w:spacing w:line="281" w:lineRule="exact"/>
              <w:ind w:right="85" w:firstLine="297"/>
              <w:jc w:val="both"/>
              <w:rPr>
                <w:color w:val="auto"/>
                <w:spacing w:val="-6"/>
                <w:lang w:val="ru-RU"/>
              </w:rPr>
            </w:pPr>
            <w:r>
              <w:rPr>
                <w:color w:val="auto"/>
                <w:spacing w:val="-6"/>
                <w:lang w:val="ru-RU"/>
              </w:rPr>
              <w:t xml:space="preserve">Разработать проект организации дорожного движения на период строительства. </w:t>
            </w:r>
            <w:r>
              <w:rPr>
                <w:color w:val="auto"/>
                <w:lang w:val="ru-RU"/>
              </w:rPr>
              <w:t>Раздел</w:t>
            </w:r>
            <w:r>
              <w:rPr>
                <w:color w:val="auto"/>
                <w:spacing w:val="-6"/>
                <w:lang w:val="ru-RU"/>
              </w:rPr>
              <w:t xml:space="preserve"> согласовать с соответствующими организациями.</w:t>
            </w: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3720"/>
              </w:tabs>
              <w:rPr>
                <w:b/>
                <w:color w:val="auto"/>
                <w:lang w:val="ru-RU"/>
              </w:rPr>
            </w:pPr>
            <w:r>
              <w:rPr>
                <w:rFonts w:eastAsia="Calibri" w:cs="Times New Roman"/>
                <w:b/>
                <w:color w:val="auto"/>
                <w:lang w:val="ru-RU"/>
              </w:rPr>
              <w:t>Технологические и конструктивные решения линейного объекта</w:t>
            </w:r>
            <w:r>
              <w:rPr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464"/>
              </w:tabs>
              <w:ind w:right="87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1. Проектирование выполнить в соответствии с действующими нормами проектирования, п. 36 Постановления Правительства РФ от 16.02.2008 № 87, техническими условиями на технологическое присоединение к электрическим сетям АО «ОЭЗ ППТ «Липецк» энергопринимающих устройств ООО «Цифровые Технологии» № 43/4/1.</w:t>
            </w:r>
          </w:p>
          <w:p w:rsidR="00DA2564" w:rsidRDefault="005A7FBD">
            <w:pPr>
              <w:ind w:right="87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2. Характеристика объектов присоединения:</w:t>
            </w:r>
          </w:p>
          <w:p w:rsidR="00DA2564" w:rsidRDefault="005A7FBD">
            <w:pPr>
              <w:ind w:right="87" w:firstLine="297"/>
              <w:jc w:val="both"/>
              <w:rPr>
                <w:iCs/>
                <w:u w:val="single"/>
                <w:lang w:val="ru-RU"/>
              </w:rPr>
            </w:pPr>
            <w:r>
              <w:rPr>
                <w:lang w:val="ru-RU"/>
              </w:rPr>
              <w:t>2.1. М</w:t>
            </w:r>
            <w:r>
              <w:rPr>
                <w:iCs/>
                <w:lang w:val="ru-RU"/>
              </w:rPr>
              <w:t xml:space="preserve">аксимальная мощность энергопринимающих устройств: </w:t>
            </w:r>
            <w:r>
              <w:rPr>
                <w:iCs/>
                <w:u w:val="single"/>
                <w:lang w:val="ru-RU"/>
              </w:rPr>
              <w:t>40 000 кВт.</w:t>
            </w:r>
          </w:p>
          <w:p w:rsidR="00DA2564" w:rsidRDefault="005A7FBD">
            <w:pPr>
              <w:ind w:right="87" w:firstLine="2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2.2. Категория надежности:</w:t>
            </w:r>
            <w:r>
              <w:rPr>
                <w:iCs/>
                <w:u w:val="single"/>
                <w:lang w:val="ru-RU"/>
              </w:rPr>
              <w:t xml:space="preserve"> </w:t>
            </w:r>
            <w:r>
              <w:rPr>
                <w:iCs/>
                <w:u w:val="single"/>
              </w:rPr>
              <w:t>III</w:t>
            </w:r>
            <w:r>
              <w:rPr>
                <w:iCs/>
                <w:u w:val="single"/>
                <w:lang w:val="ru-RU"/>
              </w:rPr>
              <w:t xml:space="preserve"> – 40 000 кВт (в том числе </w:t>
            </w:r>
            <w:r>
              <w:rPr>
                <w:iCs/>
                <w:u w:val="single"/>
              </w:rPr>
              <w:t>II</w:t>
            </w:r>
            <w:r>
              <w:rPr>
                <w:iCs/>
                <w:u w:val="single"/>
                <w:lang w:val="ru-RU"/>
              </w:rPr>
              <w:t xml:space="preserve"> - 20 000 кВт).</w:t>
            </w:r>
          </w:p>
          <w:p w:rsidR="00DA2564" w:rsidRDefault="005A7FBD">
            <w:pPr>
              <w:ind w:right="87" w:firstLine="2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2.3. Уровень напряжения, на котором осуществляется присоединение – </w:t>
            </w:r>
            <w:r>
              <w:rPr>
                <w:iCs/>
                <w:u w:val="single"/>
                <w:lang w:val="ru-RU"/>
              </w:rPr>
              <w:t xml:space="preserve">10 </w:t>
            </w:r>
            <w:proofErr w:type="spellStart"/>
            <w:r>
              <w:rPr>
                <w:iCs/>
                <w:u w:val="single"/>
                <w:lang w:val="ru-RU"/>
              </w:rPr>
              <w:t>кВ.</w:t>
            </w:r>
            <w:proofErr w:type="spellEnd"/>
          </w:p>
          <w:p w:rsidR="00DA2564" w:rsidRDefault="005A7FBD">
            <w:pPr>
              <w:ind w:right="87" w:firstLine="297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2.4. Количество, мощность присоединяемых к сети трансформаторов: </w:t>
            </w:r>
          </w:p>
          <w:p w:rsidR="00DA2564" w:rsidRDefault="005A7FBD">
            <w:pPr>
              <w:ind w:right="87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16 трансформаторов по 2500 </w:t>
            </w:r>
            <w:proofErr w:type="spellStart"/>
            <w:r>
              <w:rPr>
                <w:iCs/>
                <w:lang w:val="ru-RU"/>
              </w:rPr>
              <w:t>кВА</w:t>
            </w:r>
            <w:proofErr w:type="spellEnd"/>
            <w:r>
              <w:rPr>
                <w:iCs/>
                <w:lang w:val="ru-RU"/>
              </w:rPr>
              <w:t xml:space="preserve"> каждый.</w:t>
            </w:r>
          </w:p>
          <w:p w:rsidR="00DA2564" w:rsidRDefault="005A7FBD">
            <w:pPr>
              <w:ind w:right="87" w:firstLine="2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2.5. Характер нагрузки – промышленный.</w:t>
            </w:r>
          </w:p>
          <w:p w:rsidR="00DA2564" w:rsidRDefault="005A7FBD">
            <w:pPr>
              <w:ind w:right="87" w:firstLine="297"/>
              <w:jc w:val="both"/>
              <w:rPr>
                <w:rStyle w:val="FontStyle19"/>
                <w:lang w:val="ru-RU"/>
              </w:rPr>
            </w:pPr>
            <w:r>
              <w:rPr>
                <w:iCs/>
                <w:lang w:val="ru-RU"/>
              </w:rPr>
              <w:t>3.</w:t>
            </w:r>
            <w:r>
              <w:rPr>
                <w:lang w:val="ru-RU"/>
              </w:rPr>
              <w:t xml:space="preserve"> Осуществить проектирование и строительство 2-х КЛ-10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(ориентировочной протяженностью </w:t>
            </w:r>
            <w:r>
              <w:rPr>
                <w:color w:val="000000" w:themeColor="text1"/>
                <w:lang w:val="ru-RU"/>
              </w:rPr>
              <w:t xml:space="preserve">0,350 км </w:t>
            </w:r>
            <w:r>
              <w:rPr>
                <w:lang w:val="ru-RU"/>
              </w:rPr>
              <w:t xml:space="preserve">каждая) от ПС 220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Казинка до РП-10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ООО «Цифровые Технологии».</w:t>
            </w:r>
            <w:r>
              <w:rPr>
                <w:rStyle w:val="FontStyle19"/>
                <w:lang w:val="ru-RU"/>
              </w:rPr>
              <w:t xml:space="preserve">   </w:t>
            </w:r>
          </w:p>
          <w:p w:rsidR="00DA2564" w:rsidRDefault="005A7FBD">
            <w:pPr>
              <w:ind w:right="87" w:firstLine="297"/>
              <w:jc w:val="both"/>
              <w:rPr>
                <w:rStyle w:val="FontStyle19"/>
                <w:color w:val="auto"/>
                <w:lang w:val="ru-RU"/>
              </w:rPr>
            </w:pPr>
            <w:r>
              <w:rPr>
                <w:rStyle w:val="FontStyle19"/>
                <w:color w:val="auto"/>
                <w:lang w:val="ru-RU"/>
              </w:rPr>
              <w:t>При проектировании применить кабель с изоляцией из сшитого полиэтилена.</w:t>
            </w:r>
          </w:p>
          <w:p w:rsidR="00DA2564" w:rsidRDefault="005A7FBD">
            <w:pPr>
              <w:ind w:right="87" w:firstLine="297"/>
              <w:jc w:val="both"/>
              <w:rPr>
                <w:iCs/>
                <w:lang w:val="ru-RU"/>
              </w:rPr>
            </w:pPr>
            <w:r>
              <w:rPr>
                <w:lang w:val="ru-RU"/>
              </w:rPr>
              <w:t>4.</w:t>
            </w:r>
            <w:r>
              <w:rPr>
                <w:iCs/>
                <w:lang w:val="ru-RU"/>
              </w:rPr>
              <w:t xml:space="preserve"> Выполнить расчет токов короткого замыкания для выбора марки и сечения кабеля.</w:t>
            </w:r>
          </w:p>
          <w:p w:rsidR="00DA2564" w:rsidRDefault="005A7FBD">
            <w:pPr>
              <w:ind w:right="87" w:firstLine="297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iCs/>
                <w:lang w:val="ru-RU"/>
              </w:rPr>
              <w:t xml:space="preserve">5. Точками присоединения к объекту </w:t>
            </w:r>
            <w:r>
              <w:rPr>
                <w:lang w:val="ru-RU"/>
              </w:rPr>
              <w:t xml:space="preserve">АО </w:t>
            </w:r>
            <w:r>
              <w:rPr>
                <w:bCs/>
                <w:snapToGrid w:val="0"/>
                <w:lang w:val="ru-RU"/>
              </w:rPr>
              <w:t>«ОЭЗ ППТ «Липецк»</w:t>
            </w:r>
            <w:r>
              <w:rPr>
                <w:iCs/>
                <w:lang w:val="ru-RU"/>
              </w:rPr>
              <w:t xml:space="preserve"> являются: </w:t>
            </w:r>
          </w:p>
          <w:p w:rsidR="00DA2564" w:rsidRDefault="005A7FBD">
            <w:pPr>
              <w:ind w:right="87"/>
              <w:rPr>
                <w:lang w:val="ru-RU"/>
              </w:rPr>
            </w:pPr>
            <w:r>
              <w:rPr>
                <w:lang w:val="ru-RU"/>
              </w:rPr>
              <w:t xml:space="preserve">1-я точка – линейная ячейка 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№ 310 ЗРУ-10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ПС 220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Казинка с максимальной мощностью на </w:t>
            </w:r>
            <w:r>
              <w:rPr>
                <w:iCs/>
              </w:rPr>
              <w:t>I</w:t>
            </w:r>
            <w:r>
              <w:rPr>
                <w:iCs/>
                <w:lang w:val="ru-RU"/>
              </w:rPr>
              <w:t xml:space="preserve"> этапе – 5 МВт, на </w:t>
            </w:r>
            <w:r>
              <w:rPr>
                <w:iCs/>
              </w:rPr>
              <w:t>II</w:t>
            </w:r>
            <w:r>
              <w:rPr>
                <w:lang w:val="ru-RU"/>
              </w:rPr>
              <w:t xml:space="preserve"> этапе – 10 МВт; на </w:t>
            </w:r>
            <w:r>
              <w:rPr>
                <w:iCs/>
              </w:rPr>
              <w:t>III</w:t>
            </w:r>
            <w:r>
              <w:rPr>
                <w:iCs/>
                <w:lang w:val="ru-RU"/>
              </w:rPr>
              <w:t xml:space="preserve"> этапе – 15 МВт; на </w:t>
            </w:r>
            <w:r>
              <w:rPr>
                <w:iCs/>
              </w:rPr>
              <w:t>IV</w:t>
            </w:r>
            <w:r>
              <w:rPr>
                <w:iCs/>
                <w:lang w:val="ru-RU"/>
              </w:rPr>
              <w:t xml:space="preserve"> этапе – 20 МВт;</w:t>
            </w:r>
          </w:p>
          <w:p w:rsidR="00DA2564" w:rsidRDefault="005A7FBD">
            <w:pPr>
              <w:ind w:right="87"/>
              <w:rPr>
                <w:iCs/>
                <w:lang w:val="ru-RU"/>
              </w:rPr>
            </w:pPr>
            <w:r>
              <w:rPr>
                <w:lang w:val="ru-RU"/>
              </w:rPr>
              <w:t xml:space="preserve">2-я точка – линейная ячейка 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№ 409 ЗРУ-10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ПС 220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Казинка с максимальной мощностью на </w:t>
            </w:r>
            <w:r>
              <w:rPr>
                <w:iCs/>
              </w:rPr>
              <w:t>I</w:t>
            </w:r>
            <w:r>
              <w:rPr>
                <w:iCs/>
                <w:lang w:val="ru-RU"/>
              </w:rPr>
              <w:t xml:space="preserve"> этапе – 5 МВт, на </w:t>
            </w:r>
            <w:r>
              <w:rPr>
                <w:iCs/>
              </w:rPr>
              <w:t>II</w:t>
            </w:r>
            <w:r>
              <w:rPr>
                <w:lang w:val="ru-RU"/>
              </w:rPr>
              <w:t xml:space="preserve"> этапе – 10 МВт; на </w:t>
            </w:r>
            <w:r>
              <w:rPr>
                <w:iCs/>
              </w:rPr>
              <w:t>III</w:t>
            </w:r>
            <w:r>
              <w:rPr>
                <w:iCs/>
                <w:lang w:val="ru-RU"/>
              </w:rPr>
              <w:t xml:space="preserve"> этапе – 15 МВт; на </w:t>
            </w:r>
            <w:r>
              <w:rPr>
                <w:iCs/>
              </w:rPr>
              <w:t>IV</w:t>
            </w:r>
            <w:r>
              <w:rPr>
                <w:iCs/>
                <w:lang w:val="ru-RU"/>
              </w:rPr>
              <w:t xml:space="preserve"> этапе – 20 МВт;</w:t>
            </w:r>
          </w:p>
          <w:p w:rsidR="00DA2564" w:rsidRDefault="005A7FBD">
            <w:pPr>
              <w:ind w:right="87" w:firstLine="297"/>
              <w:rPr>
                <w:lang w:val="ru-RU"/>
              </w:rPr>
            </w:pPr>
            <w:r>
              <w:rPr>
                <w:lang w:val="ru-RU"/>
              </w:rPr>
              <w:t xml:space="preserve">6. Способ прокладки двух КЛ-10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>:</w:t>
            </w:r>
          </w:p>
          <w:p w:rsidR="00DA2564" w:rsidRDefault="005A7FBD">
            <w:pPr>
              <w:ind w:right="87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существующая кабельная эстакада от ПС 220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Казинка, ориентировочной протяженностью 0,330 км;</w:t>
            </w:r>
          </w:p>
          <w:p w:rsidR="00DA2564" w:rsidRDefault="005A7FBD">
            <w:pPr>
              <w:ind w:right="87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от эстакады до РП-10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«Цифровые Технологии» в земле, ориентировочной протяженностью 0,020 км.</w:t>
            </w:r>
          </w:p>
          <w:p w:rsidR="00DA2564" w:rsidRDefault="005A7FBD">
            <w:pPr>
              <w:ind w:right="87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Для крепления кабельных линий на эстакаде применить полиамидные кабельные крепления. Полиамидные кабельные крепления должны иметь аттестацию (проверку качества в НТЦ ФСК ЕЭС).</w:t>
            </w:r>
          </w:p>
          <w:p w:rsidR="00DA2564" w:rsidRDefault="005A7FBD">
            <w:pPr>
              <w:ind w:right="87" w:firstLine="297"/>
              <w:jc w:val="both"/>
              <w:rPr>
                <w:rStyle w:val="FontStyle19"/>
                <w:color w:val="auto"/>
                <w:sz w:val="24"/>
                <w:szCs w:val="24"/>
                <w:lang w:val="ru-RU"/>
              </w:rPr>
            </w:pPr>
            <w:r>
              <w:rPr>
                <w:rStyle w:val="FontStyle19"/>
                <w:color w:val="auto"/>
                <w:sz w:val="24"/>
                <w:szCs w:val="24"/>
                <w:lang w:val="ru-RU"/>
              </w:rPr>
              <w:t xml:space="preserve">7. Трассу, место </w:t>
            </w:r>
            <w:proofErr w:type="spellStart"/>
            <w:r>
              <w:rPr>
                <w:rStyle w:val="FontStyle19"/>
                <w:color w:val="auto"/>
                <w:sz w:val="24"/>
                <w:szCs w:val="24"/>
                <w:lang w:val="ru-RU"/>
              </w:rPr>
              <w:t>опуска</w:t>
            </w:r>
            <w:proofErr w:type="spellEnd"/>
            <w:r>
              <w:rPr>
                <w:rStyle w:val="FontStyle19"/>
                <w:color w:val="auto"/>
                <w:sz w:val="24"/>
                <w:szCs w:val="24"/>
                <w:lang w:val="ru-RU"/>
              </w:rPr>
              <w:t>, протяженность, марку и сечение основных жил и экрана кабеля с учетом времени протекания токов короткого замыкания, определить проектом.</w:t>
            </w:r>
          </w:p>
          <w:p w:rsidR="00DA2564" w:rsidRDefault="005A7FBD">
            <w:pPr>
              <w:ind w:right="87" w:firstLine="297"/>
              <w:jc w:val="both"/>
              <w:rPr>
                <w:rStyle w:val="FontStyle19"/>
                <w:color w:val="auto"/>
                <w:lang w:val="ru-RU"/>
              </w:rPr>
            </w:pPr>
            <w:r>
              <w:rPr>
                <w:rStyle w:val="FontStyle19"/>
                <w:color w:val="auto"/>
                <w:lang w:val="ru-RU"/>
              </w:rPr>
              <w:t xml:space="preserve">8. </w:t>
            </w:r>
            <w:r>
              <w:rPr>
                <w:rStyle w:val="FontStyle19"/>
                <w:color w:val="auto"/>
                <w:sz w:val="24"/>
                <w:szCs w:val="24"/>
                <w:lang w:val="ru-RU"/>
              </w:rPr>
              <w:t xml:space="preserve">Прокладку кабеля в земле от эстакады до РП-10 </w:t>
            </w:r>
            <w:proofErr w:type="spellStart"/>
            <w:r>
              <w:rPr>
                <w:rStyle w:val="FontStyle19"/>
                <w:color w:val="auto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Style w:val="FontStyle19"/>
                <w:color w:val="auto"/>
                <w:sz w:val="24"/>
                <w:szCs w:val="24"/>
                <w:lang w:val="ru-RU"/>
              </w:rPr>
              <w:t xml:space="preserve"> «Цифровые технологии» выполнить в футлярах из труб ПНД.  </w:t>
            </w:r>
          </w:p>
          <w:p w:rsidR="00DA2564" w:rsidRDefault="005A7FBD">
            <w:pPr>
              <w:ind w:right="87" w:firstLine="297"/>
              <w:jc w:val="both"/>
              <w:rPr>
                <w:rStyle w:val="FontStyle19"/>
                <w:lang w:val="ru-RU"/>
              </w:rPr>
            </w:pPr>
            <w:r>
              <w:rPr>
                <w:rStyle w:val="FontStyle19"/>
                <w:color w:val="auto"/>
                <w:lang w:val="ru-RU"/>
              </w:rPr>
              <w:t>9.</w:t>
            </w:r>
            <w:r>
              <w:rPr>
                <w:color w:val="auto"/>
                <w:lang w:val="ru-RU"/>
              </w:rPr>
              <w:t xml:space="preserve"> Трассу КЛ-10 </w:t>
            </w:r>
            <w:proofErr w:type="spellStart"/>
            <w:r>
              <w:rPr>
                <w:color w:val="auto"/>
                <w:lang w:val="ru-RU"/>
              </w:rPr>
              <w:t>кВ</w:t>
            </w:r>
            <w:proofErr w:type="spellEnd"/>
            <w:r>
              <w:rPr>
                <w:color w:val="auto"/>
                <w:lang w:val="ru-RU"/>
              </w:rPr>
              <w:t xml:space="preserve"> согласовать с </w:t>
            </w:r>
            <w:r>
              <w:rPr>
                <w:color w:val="auto"/>
                <w:szCs w:val="26"/>
                <w:lang w:val="ru-RU"/>
              </w:rPr>
              <w:t xml:space="preserve">АО </w:t>
            </w:r>
            <w:r>
              <w:rPr>
                <w:color w:val="auto"/>
                <w:lang w:val="ru-RU"/>
              </w:rPr>
              <w:t>«ОЭЗ ППТ Липецк» и ООО «Цифровые Технологии».</w:t>
            </w:r>
          </w:p>
          <w:p w:rsidR="00DA2564" w:rsidRDefault="005A7FBD">
            <w:pPr>
              <w:ind w:right="87" w:firstLine="297"/>
              <w:jc w:val="both"/>
              <w:rPr>
                <w:color w:val="auto"/>
                <w:lang w:val="ru-RU"/>
              </w:rPr>
            </w:pPr>
            <w:r>
              <w:rPr>
                <w:rStyle w:val="FontStyle19"/>
                <w:lang w:val="ru-RU"/>
              </w:rPr>
              <w:t>10</w:t>
            </w:r>
            <w:r>
              <w:rPr>
                <w:lang w:val="ru-RU"/>
              </w:rPr>
              <w:t xml:space="preserve">. </w:t>
            </w:r>
            <w:r>
              <w:rPr>
                <w:color w:val="auto"/>
                <w:lang w:val="ru-RU"/>
              </w:rPr>
              <w:t>Произвести расчет токов короткого замыкания в максимальном и минимальном режимах в конце проектируемой КЛ.</w:t>
            </w:r>
          </w:p>
          <w:p w:rsidR="00DA2564" w:rsidRDefault="005A7FBD">
            <w:pPr>
              <w:ind w:right="87" w:firstLine="297"/>
              <w:jc w:val="both"/>
              <w:rPr>
                <w:rFonts w:cs="Times New Roman"/>
                <w:lang w:val="ru-RU"/>
              </w:rPr>
            </w:pPr>
            <w:r>
              <w:rPr>
                <w:color w:val="auto"/>
                <w:lang w:val="ru-RU"/>
              </w:rPr>
              <w:t>11. Произвести выбор уставок устройств РЗА, установленных в ячейках</w:t>
            </w:r>
            <w:r>
              <w:rPr>
                <w:lang w:val="ru-RU"/>
              </w:rPr>
              <w:t xml:space="preserve"> 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№ 310, 409 ЗРУ-10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ПС 220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Казинка.</w:t>
            </w:r>
          </w:p>
          <w:p w:rsidR="00DA2564" w:rsidRDefault="005A7FBD">
            <w:pPr>
              <w:ind w:right="87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12. Технические решения, принятые в проекте,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обеспечивающую безопасную для жизни и здоровья людей, занятых эксплуатацией опасного производственного объекта.</w:t>
            </w:r>
          </w:p>
          <w:p w:rsidR="00DA2564" w:rsidRDefault="00DA2564">
            <w:pPr>
              <w:tabs>
                <w:tab w:val="left" w:pos="464"/>
              </w:tabs>
              <w:ind w:right="87"/>
              <w:jc w:val="both"/>
              <w:rPr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Обосновывающие материалы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3720"/>
              </w:tabs>
              <w:ind w:left="16" w:right="87" w:firstLine="281"/>
              <w:jc w:val="both"/>
              <w:rPr>
                <w:lang w:val="ru-RU"/>
              </w:rPr>
            </w:pPr>
            <w:r>
              <w:rPr>
                <w:lang w:val="ru-RU"/>
              </w:rPr>
              <w:t>В соответствии с «</w:t>
            </w:r>
            <w:r>
              <w:rPr>
                <w:szCs w:val="20"/>
                <w:lang w:val="ru-RU"/>
              </w:rPr>
              <w:t xml:space="preserve">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 и </w:t>
            </w:r>
            <w:r>
              <w:rPr>
                <w:lang w:val="ru-RU"/>
              </w:rPr>
              <w:t>Федеральным законом от 30.12.2009 № 384-ФЗ «Технический регламент о безопасности зданий и сооружений» (в действующей редакции) для обоснования проектных и инженерно-технических решений представить расчёты показателей по всем разделам проекта.</w:t>
            </w:r>
          </w:p>
          <w:p w:rsidR="00DA2564" w:rsidRDefault="00DA2564">
            <w:pPr>
              <w:tabs>
                <w:tab w:val="left" w:pos="3720"/>
              </w:tabs>
              <w:ind w:left="39" w:right="87" w:firstLine="141"/>
              <w:jc w:val="both"/>
              <w:rPr>
                <w:color w:val="auto"/>
                <w:spacing w:val="-6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2.5</w:t>
            </w:r>
          </w:p>
          <w:p w:rsidR="00DA2564" w:rsidRDefault="00DA2564">
            <w:pPr>
              <w:pStyle w:val="a3"/>
              <w:jc w:val="center"/>
              <w:rPr>
                <w:color w:val="auto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 xml:space="preserve">Проект </w:t>
            </w:r>
          </w:p>
          <w:p w:rsidR="00DA2564" w:rsidRDefault="005A7FBD">
            <w:pPr>
              <w:rPr>
                <w:rFonts w:eastAsia="Times New Roman" w:cs="Times New Roman"/>
                <w:b/>
                <w:color w:val="auto"/>
              </w:rPr>
            </w:pPr>
            <w:proofErr w:type="spellStart"/>
            <w:r>
              <w:rPr>
                <w:rFonts w:eastAsia="Times New Roman" w:cs="Times New Roman"/>
                <w:b/>
                <w:color w:val="auto"/>
              </w:rPr>
              <w:t>организации</w:t>
            </w:r>
            <w:proofErr w:type="spellEnd"/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auto"/>
              </w:rPr>
              <w:t>строительства</w:t>
            </w:r>
            <w:proofErr w:type="spellEnd"/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  <w:p w:rsidR="00DA2564" w:rsidRDefault="00DA2564">
            <w:pPr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ConsPlusNormal"/>
              <w:ind w:left="16" w:right="84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разработать в соответствии с требованиями действующих нормативов, в том числе СНиП 12-01-2004 «Организация строительства» (одобрены Постановлением Госстроя РФ от 19.04.2004 № 70) и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:rsidR="00DA2564" w:rsidRDefault="005A7FBD">
            <w:pPr>
              <w:pStyle w:val="ConsPlusNormal"/>
              <w:ind w:left="16" w:right="84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календарный план строительства с указанием сроков и последовательностью строительства (по форме п. 4.6 МДС 12-46.2008). </w:t>
            </w:r>
          </w:p>
          <w:p w:rsidR="00DA2564" w:rsidRDefault="005A7FBD">
            <w:pPr>
              <w:pStyle w:val="ConsPlusNormal"/>
              <w:ind w:left="16" w:right="84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Рассчитать проектом потребность строительства в кадрах, основных строительных машинах, транспортных средствах, энергоресурсах.</w:t>
            </w:r>
          </w:p>
          <w:p w:rsidR="00DA2564" w:rsidRDefault="005A7FBD">
            <w:pPr>
              <w:pStyle w:val="ConsPlusNormal"/>
              <w:ind w:left="16" w:right="84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стройгенплан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определением мест расположения постоянных и временных зданий и сооружений, мест складирования, установки и путей перемещения кранов.</w:t>
            </w:r>
          </w:p>
          <w:p w:rsidR="00DA2564" w:rsidRDefault="005A7FBD">
            <w:pPr>
              <w:pStyle w:val="Default"/>
              <w:tabs>
                <w:tab w:val="left" w:pos="521"/>
              </w:tabs>
              <w:ind w:left="16" w:right="84" w:firstLine="228"/>
              <w:jc w:val="both"/>
              <w:rPr>
                <w:lang w:val="ru-RU"/>
              </w:rPr>
            </w:pPr>
            <w:r>
              <w:rPr>
                <w:lang w:val="ru-RU"/>
              </w:rPr>
              <w:t>Проект согласовать с соответствующими службами для получения разрешения на строительство.</w:t>
            </w:r>
          </w:p>
          <w:p w:rsidR="00DA2564" w:rsidRDefault="00DA2564">
            <w:pPr>
              <w:pStyle w:val="Default"/>
              <w:tabs>
                <w:tab w:val="left" w:pos="521"/>
              </w:tabs>
              <w:ind w:right="87" w:firstLine="228"/>
              <w:jc w:val="both"/>
              <w:rPr>
                <w:color w:val="auto"/>
                <w:lang w:val="ru-RU"/>
              </w:rPr>
            </w:pPr>
          </w:p>
        </w:tc>
      </w:tr>
      <w:tr w:rsidR="00DA2564" w:rsidRPr="0081508C">
        <w:trPr>
          <w:trHeight w:val="4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6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 xml:space="preserve">Перечень мероприятий </w:t>
            </w:r>
          </w:p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по охране</w:t>
            </w:r>
          </w:p>
          <w:p w:rsidR="00DA2564" w:rsidRDefault="005A7FBD">
            <w:pPr>
              <w:rPr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 xml:space="preserve">окружающей среды 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464"/>
              </w:tabs>
              <w:ind w:left="16" w:right="85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Раздел разработать в соответствии с требованиями действующих нормативов и технических регламентов, в том числе п. 40 Постановления Правительства РФ от 16.02.2008 № 87 (в действующей редакции).</w:t>
            </w:r>
          </w:p>
          <w:p w:rsidR="00DA2564" w:rsidRDefault="005A7FBD">
            <w:pPr>
              <w:tabs>
                <w:tab w:val="left" w:pos="464"/>
              </w:tabs>
              <w:ind w:left="16" w:right="85" w:firstLine="281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Разработать мероприятия по предотвращению и (или) снижению возможного негативного воздействия на окружающую среду в соответствии с требованиями Федерального закона от 10.01.2002 № 7-ФЗ «Об охране окружающей среды» (в действующей редакции).</w:t>
            </w:r>
          </w:p>
          <w:p w:rsidR="00DA2564" w:rsidRDefault="00DA2564">
            <w:pPr>
              <w:tabs>
                <w:tab w:val="left" w:pos="464"/>
              </w:tabs>
              <w:ind w:right="85" w:firstLine="297"/>
              <w:jc w:val="both"/>
              <w:rPr>
                <w:rFonts w:cs="Times New Roman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="Calibri" w:cs="Times New Roman"/>
                <w:b/>
                <w:color w:val="auto"/>
                <w:lang w:val="ru-RU" w:eastAsia="ru-RU" w:bidi="ar-SA"/>
              </w:rPr>
              <w:t>Мероприятия по обеспечению пожарной безопасности</w:t>
            </w:r>
          </w:p>
          <w:p w:rsidR="00DA2564" w:rsidRDefault="00DA2564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564" w:rsidRDefault="005A7FBD">
            <w:pPr>
              <w:keepNext/>
              <w:tabs>
                <w:tab w:val="left" w:pos="464"/>
              </w:tabs>
              <w:snapToGrid w:val="0"/>
              <w:ind w:left="16" w:right="85" w:firstLine="28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Раздел разработать в соответствии с требованиями п. 41 Постановления Правительства РФ от 16.02.2008 № 87 (в действующей редакции), </w:t>
            </w:r>
            <w:r>
              <w:rPr>
                <w:lang w:val="ru-RU"/>
              </w:rPr>
              <w:t>Федерального закона от 21.12.1994 № 68-ФЗ «О пожарной безопасности» (с изм.),</w:t>
            </w:r>
            <w:r>
              <w:rPr>
                <w:shd w:val="clear" w:color="auto" w:fill="FFFFFF"/>
                <w:lang w:val="ru-RU"/>
              </w:rPr>
              <w:t xml:space="preserve"> Федерального</w:t>
            </w:r>
            <w:r>
              <w:rPr>
                <w:rStyle w:val="apple-converted-space"/>
                <w:shd w:val="clear" w:color="auto" w:fill="FFFFFF"/>
              </w:rPr>
              <w:t> </w:t>
            </w:r>
            <w:hyperlink r:id="rId8" w:history="1">
              <w:r>
                <w:rPr>
                  <w:rStyle w:val="af3"/>
                  <w:color w:val="auto"/>
                  <w:u w:val="none"/>
                  <w:shd w:val="clear" w:color="auto" w:fill="FFFFFF"/>
                  <w:lang w:val="ru-RU"/>
                </w:rPr>
                <w:t>закон</w:t>
              </w:r>
            </w:hyperlink>
            <w:r>
              <w:rPr>
                <w:lang w:val="ru-RU"/>
              </w:rPr>
              <w:t>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  <w:lang w:val="ru-RU"/>
              </w:rPr>
              <w:t>от 22.07.2008 № 123-ФЗ «Технический регламент о требованиях пожарной безопасности»</w:t>
            </w:r>
            <w:r>
              <w:rPr>
                <w:lang w:val="ru-RU"/>
              </w:rPr>
              <w:t xml:space="preserve"> и других национальных стандартов и нормативных актов РФ».</w:t>
            </w:r>
          </w:p>
          <w:p w:rsidR="00DA2564" w:rsidRDefault="005A7FBD">
            <w:pPr>
              <w:keepNext/>
              <w:tabs>
                <w:tab w:val="left" w:pos="464"/>
              </w:tabs>
              <w:snapToGrid w:val="0"/>
              <w:ind w:left="16" w:right="85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Разработать систему обеспечения пожарной безопасности объекта. </w:t>
            </w:r>
          </w:p>
          <w:p w:rsidR="00DA2564" w:rsidRDefault="005A7FBD">
            <w:pPr>
              <w:keepNext/>
              <w:tabs>
                <w:tab w:val="left" w:pos="464"/>
              </w:tabs>
              <w:snapToGrid w:val="0"/>
              <w:ind w:left="16" w:right="87" w:firstLine="28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Разработать организационно-технические мероприятия по обеспечению пожарной безопасности объекта.</w:t>
            </w:r>
          </w:p>
          <w:p w:rsidR="00DA2564" w:rsidRDefault="00DA2564">
            <w:pPr>
              <w:keepNext/>
              <w:tabs>
                <w:tab w:val="left" w:pos="464"/>
              </w:tabs>
              <w:snapToGrid w:val="0"/>
              <w:ind w:right="87" w:firstLine="228"/>
              <w:jc w:val="both"/>
              <w:rPr>
                <w:color w:val="auto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8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Смета на</w:t>
            </w:r>
          </w:p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 xml:space="preserve">строительство </w:t>
            </w:r>
          </w:p>
          <w:p w:rsidR="00DA2564" w:rsidRDefault="00DA2564">
            <w:pPr>
              <w:pStyle w:val="a3"/>
              <w:rPr>
                <w:b/>
                <w:color w:val="auto"/>
                <w:lang w:val="ru-RU"/>
              </w:rPr>
            </w:pP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464"/>
              </w:tabs>
              <w:ind w:left="16" w:right="85" w:firstLine="281"/>
              <w:jc w:val="both"/>
              <w:rPr>
                <w:lang w:val="ru-RU"/>
              </w:rPr>
            </w:pPr>
            <w:r>
              <w:rPr>
                <w:lang w:val="ru-RU"/>
              </w:rPr>
              <w:t>Сметную документацию выполнить в соответствии с действующими нормативными документами в области ценообразования и сметного нормирования.</w:t>
            </w:r>
          </w:p>
          <w:p w:rsidR="00DA2564" w:rsidRDefault="005A7FBD">
            <w:pPr>
              <w:tabs>
                <w:tab w:val="left" w:pos="464"/>
              </w:tabs>
              <w:ind w:right="85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Сметную документацию выполнить в двух уровнях цен:</w:t>
            </w:r>
          </w:p>
          <w:p w:rsidR="00DA2564" w:rsidRDefault="005A7FBD">
            <w:pPr>
              <w:tabs>
                <w:tab w:val="left" w:pos="464"/>
              </w:tabs>
              <w:ind w:left="16" w:right="85" w:firstLine="23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- базисном, определяемом на основе действующих сметных норм и цен 2001 года;</w:t>
            </w:r>
          </w:p>
          <w:p w:rsidR="00DA2564" w:rsidRDefault="005A7FBD">
            <w:pPr>
              <w:tabs>
                <w:tab w:val="left" w:pos="464"/>
              </w:tabs>
              <w:ind w:left="16" w:right="85" w:firstLine="23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- текущем, определяемом на основе цен, сложившихся ко времени составления сметной документации.</w:t>
            </w:r>
          </w:p>
          <w:p w:rsidR="00DA2564" w:rsidRDefault="005A7FBD">
            <w:pPr>
              <w:tabs>
                <w:tab w:val="left" w:pos="464"/>
              </w:tabs>
              <w:ind w:left="16" w:right="85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Сметную документацию выполнить в ФЕР-2017 с переводом в текущие цены индексами для Липецкой области.</w:t>
            </w:r>
          </w:p>
          <w:p w:rsidR="00DA2564" w:rsidRDefault="005A7FBD">
            <w:pPr>
              <w:tabs>
                <w:tab w:val="left" w:pos="464"/>
              </w:tabs>
              <w:ind w:left="16" w:right="85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В сводный сметный расчёт включить все затраты, предусмотренные нормативными документами.</w:t>
            </w:r>
          </w:p>
          <w:p w:rsidR="00DA2564" w:rsidRDefault="005A7FBD">
            <w:pPr>
              <w:ind w:left="16" w:right="87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Сметную документацию представить на бумажном носителе и в электронном виде.</w:t>
            </w:r>
          </w:p>
          <w:p w:rsidR="00DA2564" w:rsidRDefault="00DA2564">
            <w:pPr>
              <w:ind w:left="39" w:right="87" w:firstLine="141"/>
              <w:jc w:val="both"/>
              <w:rPr>
                <w:color w:val="auto"/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9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color w:val="auto"/>
              </w:rPr>
              <w:t>Согласовани</w:t>
            </w:r>
            <w:proofErr w:type="spellEnd"/>
            <w:r>
              <w:rPr>
                <w:rFonts w:eastAsia="Times New Roman" w:cs="Times New Roman"/>
                <w:b/>
                <w:color w:val="auto"/>
                <w:lang w:val="ru-RU"/>
              </w:rPr>
              <w:t xml:space="preserve">е </w:t>
            </w:r>
          </w:p>
          <w:p w:rsidR="00DA2564" w:rsidRDefault="005A7FBD">
            <w:pPr>
              <w:rPr>
                <w:rFonts w:eastAsia="Times New Roman" w:cs="Times New Roman"/>
                <w:b/>
                <w:color w:val="auto"/>
              </w:rPr>
            </w:pPr>
            <w:proofErr w:type="spellStart"/>
            <w:r>
              <w:rPr>
                <w:rFonts w:eastAsia="Times New Roman" w:cs="Times New Roman"/>
                <w:b/>
                <w:color w:val="auto"/>
              </w:rPr>
              <w:t>проектной</w:t>
            </w:r>
            <w:proofErr w:type="spellEnd"/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  <w:p w:rsidR="00DA2564" w:rsidRDefault="005A7FBD">
            <w:pPr>
              <w:rPr>
                <w:rFonts w:eastAsia="Times New Roman" w:cs="Times New Roman"/>
                <w:b/>
                <w:color w:val="auto"/>
              </w:rPr>
            </w:pPr>
            <w:proofErr w:type="spellStart"/>
            <w:r>
              <w:rPr>
                <w:rFonts w:eastAsia="Times New Roman" w:cs="Times New Roman"/>
                <w:b/>
                <w:color w:val="auto"/>
              </w:rPr>
              <w:t>документации</w:t>
            </w:r>
            <w:proofErr w:type="spellEnd"/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501"/>
              </w:tabs>
              <w:spacing w:before="60"/>
              <w:ind w:left="16" w:right="87" w:firstLine="281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Выполняются Подрядчиком в соответствии с требованиями, предусмотренными законодательством Российской Федерации и настоящим Техническим заданием, в т.ч. с:</w:t>
            </w:r>
          </w:p>
          <w:p w:rsidR="00DA2564" w:rsidRDefault="005A7FBD">
            <w:pPr>
              <w:tabs>
                <w:tab w:val="left" w:pos="1079"/>
              </w:tabs>
              <w:ind w:right="87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-</w:t>
            </w:r>
            <w:r>
              <w:rPr>
                <w:b/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АО «ОЭЗ ППТ «Липецк»;</w:t>
            </w:r>
          </w:p>
          <w:p w:rsidR="00DA2564" w:rsidRDefault="005A7FBD">
            <w:pPr>
              <w:tabs>
                <w:tab w:val="left" w:pos="1079"/>
              </w:tabs>
              <w:ind w:right="87" w:firstLine="29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- </w:t>
            </w:r>
            <w:r>
              <w:rPr>
                <w:color w:val="auto"/>
                <w:szCs w:val="26"/>
                <w:lang w:val="ru-RU"/>
              </w:rPr>
              <w:t xml:space="preserve">ООО </w:t>
            </w:r>
            <w:r>
              <w:rPr>
                <w:color w:val="auto"/>
                <w:lang w:val="ru-RU"/>
              </w:rPr>
              <w:t>«Цифровые Технологии».</w:t>
            </w:r>
          </w:p>
          <w:p w:rsidR="00DA2564" w:rsidRDefault="005A7FBD">
            <w:pPr>
              <w:tabs>
                <w:tab w:val="left" w:pos="1079"/>
              </w:tabs>
              <w:ind w:left="16" w:right="87" w:firstLine="297"/>
              <w:jc w:val="both"/>
              <w:rPr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Подрядчик выполняет согласование рабочей документации в объеме, необходимом для ввода объекта строительства в эксплуатацию.</w:t>
            </w:r>
          </w:p>
          <w:p w:rsidR="00DA2564" w:rsidRDefault="005A7FBD">
            <w:pPr>
              <w:tabs>
                <w:tab w:val="left" w:pos="464"/>
              </w:tabs>
              <w:ind w:left="16" w:right="85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>Затраты на согласование проектной документации включены в начальную стоимость на проектирование.</w:t>
            </w:r>
          </w:p>
          <w:p w:rsidR="00DA2564" w:rsidRDefault="00DA2564">
            <w:pPr>
              <w:tabs>
                <w:tab w:val="left" w:pos="464"/>
              </w:tabs>
              <w:ind w:right="85"/>
              <w:jc w:val="both"/>
              <w:rPr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Экспертиза проектной документации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501"/>
              </w:tabs>
              <w:spacing w:before="60"/>
              <w:ind w:left="16" w:right="87" w:firstLine="2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Подрядчик обеспечивает прохождение проектной документации и </w:t>
            </w:r>
            <w:r w:rsidRPr="007F28F4">
              <w:rPr>
                <w:color w:val="auto"/>
                <w:lang w:val="ru-RU"/>
              </w:rPr>
              <w:t xml:space="preserve">инженерных изысканий </w:t>
            </w:r>
            <w:r>
              <w:rPr>
                <w:lang w:val="ru-RU"/>
              </w:rPr>
              <w:t>в форме государственной экспертизы или негосударственной экспертизы и отвечает за получение положительного заключения экспертизы.</w:t>
            </w:r>
          </w:p>
          <w:p w:rsidR="00DA2564" w:rsidRDefault="005A7FBD">
            <w:pPr>
              <w:tabs>
                <w:tab w:val="left" w:pos="501"/>
              </w:tabs>
              <w:spacing w:before="60"/>
              <w:ind w:left="16" w:right="87" w:firstLine="281"/>
              <w:jc w:val="both"/>
              <w:rPr>
                <w:lang w:val="ru-RU"/>
              </w:rPr>
            </w:pPr>
            <w:r>
              <w:rPr>
                <w:lang w:val="ru-RU"/>
              </w:rPr>
              <w:t>Подрядчик обеспечивает проведение проверки достоверности определения сметной стоимости с получением положительного заключения.</w:t>
            </w:r>
          </w:p>
          <w:p w:rsidR="00DA2564" w:rsidRDefault="005A7FBD">
            <w:pPr>
              <w:tabs>
                <w:tab w:val="left" w:pos="501"/>
              </w:tabs>
              <w:spacing w:before="60"/>
              <w:ind w:left="16" w:right="87" w:firstLine="281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Затраты на прохождение проектной документацией, </w:t>
            </w:r>
            <w:r w:rsidRPr="007F28F4">
              <w:rPr>
                <w:rFonts w:cs="Times New Roman"/>
                <w:color w:val="auto"/>
                <w:lang w:val="ru-RU"/>
              </w:rPr>
              <w:t xml:space="preserve">инженерными изысканиями </w:t>
            </w:r>
            <w:r>
              <w:rPr>
                <w:rFonts w:cs="Times New Roman"/>
                <w:lang w:val="ru-RU"/>
              </w:rPr>
              <w:t>экспертизы и на проверку достоверности определения сметной стоимости включены в начальную стоимость на проектирование и учитываются в цене коммерческого предложения.</w:t>
            </w:r>
          </w:p>
          <w:p w:rsidR="00DA2564" w:rsidRDefault="005A7FBD">
            <w:pPr>
              <w:tabs>
                <w:tab w:val="left" w:pos="501"/>
              </w:tabs>
              <w:spacing w:before="60"/>
              <w:ind w:left="16" w:right="87" w:firstLine="28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Экспертиза проектной документации, результатов </w:t>
            </w:r>
            <w:r w:rsidRPr="007F28F4">
              <w:rPr>
                <w:color w:val="auto"/>
                <w:lang w:val="ru-RU"/>
              </w:rPr>
              <w:t xml:space="preserve">инженерных изысканий </w:t>
            </w:r>
            <w:r>
              <w:rPr>
                <w:lang w:val="ru-RU"/>
              </w:rPr>
              <w:t>и проверка достоверности определения сметной стоимости проводятся одновременно.</w:t>
            </w:r>
          </w:p>
          <w:p w:rsidR="00DA2564" w:rsidRDefault="00DA2564">
            <w:pPr>
              <w:tabs>
                <w:tab w:val="left" w:pos="501"/>
              </w:tabs>
              <w:spacing w:before="60"/>
              <w:ind w:left="16" w:right="87" w:firstLine="281"/>
              <w:jc w:val="both"/>
              <w:rPr>
                <w:lang w:val="ru-RU"/>
              </w:rPr>
            </w:pPr>
          </w:p>
        </w:tc>
      </w:tr>
      <w:tr w:rsidR="00DA2564" w:rsidRPr="0081508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rPr>
                <w:rFonts w:eastAsia="Times New Roman"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 xml:space="preserve">Количество экземпляров ПСД, выдаваемых Заказчику 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64" w:rsidRDefault="005A7FBD">
            <w:pPr>
              <w:tabs>
                <w:tab w:val="left" w:pos="464"/>
              </w:tabs>
              <w:ind w:right="85" w:firstLine="230"/>
              <w:jc w:val="both"/>
              <w:rPr>
                <w:lang w:val="ru-RU"/>
              </w:rPr>
            </w:pPr>
            <w:r>
              <w:rPr>
                <w:lang w:val="ru-RU"/>
              </w:rPr>
              <w:t>6 экземпляров на бумажном носителе.</w:t>
            </w:r>
          </w:p>
          <w:p w:rsidR="00DA2564" w:rsidRDefault="005A7FBD">
            <w:pPr>
              <w:tabs>
                <w:tab w:val="left" w:pos="464"/>
              </w:tabs>
              <w:ind w:right="85" w:firstLine="23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 экземпляра в электронном виде в форматах </w:t>
            </w:r>
            <w:r>
              <w:t>PDF</w:t>
            </w:r>
            <w:r>
              <w:rPr>
                <w:lang w:val="ru-RU"/>
              </w:rPr>
              <w:t xml:space="preserve"> и </w:t>
            </w:r>
            <w:r>
              <w:t>AutoCAD</w:t>
            </w:r>
            <w:r>
              <w:rPr>
                <w:lang w:val="ru-RU"/>
              </w:rPr>
              <w:t>.</w:t>
            </w:r>
          </w:p>
          <w:p w:rsidR="00DA2564" w:rsidRDefault="005A7FBD">
            <w:pPr>
              <w:tabs>
                <w:tab w:val="left" w:pos="464"/>
              </w:tabs>
              <w:snapToGrid w:val="0"/>
              <w:ind w:left="16" w:right="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Сметная документация на бумажном носителе и в электронном виде в формате Гранд-Смета, </w:t>
            </w:r>
            <w:r>
              <w:t>Excel</w:t>
            </w:r>
            <w:r>
              <w:rPr>
                <w:lang w:val="ru-RU"/>
              </w:rPr>
              <w:t>.</w:t>
            </w:r>
          </w:p>
          <w:p w:rsidR="00DA2564" w:rsidRDefault="00DA2564">
            <w:pPr>
              <w:tabs>
                <w:tab w:val="left" w:pos="464"/>
              </w:tabs>
              <w:snapToGrid w:val="0"/>
              <w:ind w:right="87"/>
              <w:jc w:val="both"/>
              <w:rPr>
                <w:lang w:val="ru-RU"/>
              </w:rPr>
            </w:pPr>
          </w:p>
        </w:tc>
      </w:tr>
    </w:tbl>
    <w:p w:rsidR="00DA2564" w:rsidRDefault="00DA2564">
      <w:pPr>
        <w:spacing w:before="120"/>
        <w:rPr>
          <w:b/>
          <w:lang w:val="ru-RU"/>
        </w:rPr>
      </w:pPr>
    </w:p>
    <w:p w:rsidR="00DA2564" w:rsidRDefault="00DA2564">
      <w:pPr>
        <w:rPr>
          <w:lang w:val="ru-RU"/>
        </w:rPr>
      </w:pPr>
    </w:p>
    <w:sectPr w:rsidR="00DA25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2" w:right="454" w:bottom="568" w:left="1134" w:header="284" w:footer="1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564" w:rsidRDefault="005A7FBD">
      <w:r>
        <w:separator/>
      </w:r>
    </w:p>
  </w:endnote>
  <w:endnote w:type="continuationSeparator" w:id="0">
    <w:p w:rsidR="00DA2564" w:rsidRDefault="005A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7102"/>
      <w:docPartObj>
        <w:docPartGallery w:val="Page Numbers (Bottom of Page)"/>
        <w:docPartUnique/>
      </w:docPartObj>
    </w:sdtPr>
    <w:sdtEndPr/>
    <w:sdtContent>
      <w:p w:rsidR="00DA2564" w:rsidRDefault="005A7FB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A2564" w:rsidRDefault="00DA256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64" w:rsidRDefault="00DA2564">
    <w:pPr>
      <w:pStyle w:val="ab"/>
      <w:jc w:val="center"/>
    </w:pPr>
  </w:p>
  <w:p w:rsidR="00DA2564" w:rsidRDefault="00DA25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564" w:rsidRDefault="005A7FBD">
      <w:r>
        <w:separator/>
      </w:r>
    </w:p>
  </w:footnote>
  <w:footnote w:type="continuationSeparator" w:id="0">
    <w:p w:rsidR="00DA2564" w:rsidRDefault="005A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B0F0"/>
        <w:sz w:val="22"/>
        <w:szCs w:val="22"/>
      </w:rPr>
      <w:id w:val="2707101"/>
      <w:docPartObj>
        <w:docPartGallery w:val="Page Numbers (Top of Page)"/>
        <w:docPartUnique/>
      </w:docPartObj>
    </w:sdtPr>
    <w:sdtEndPr/>
    <w:sdtContent>
      <w:p w:rsidR="00DA2564" w:rsidRDefault="005A7FBD">
        <w:pPr>
          <w:pStyle w:val="a9"/>
          <w:jc w:val="center"/>
          <w:rPr>
            <w:color w:val="00B0F0"/>
            <w:sz w:val="22"/>
            <w:szCs w:val="22"/>
            <w:lang w:val="ru-RU"/>
          </w:rPr>
        </w:pPr>
        <w:r>
          <w:rPr>
            <w:color w:val="00B0F0"/>
            <w:sz w:val="22"/>
            <w:szCs w:val="22"/>
            <w:lang w:val="ru-RU"/>
          </w:rPr>
          <w:t xml:space="preserve">Техническое задание на выполнение проектных работ по объекту </w:t>
        </w:r>
      </w:p>
      <w:p w:rsidR="00DA2564" w:rsidRDefault="005A7FBD">
        <w:pPr>
          <w:pStyle w:val="a9"/>
          <w:jc w:val="center"/>
          <w:rPr>
            <w:color w:val="00B0F0"/>
            <w:sz w:val="22"/>
            <w:szCs w:val="22"/>
            <w:lang w:val="ru-RU"/>
          </w:rPr>
        </w:pPr>
        <w:r>
          <w:rPr>
            <w:color w:val="00B0F0"/>
            <w:sz w:val="22"/>
            <w:szCs w:val="22"/>
            <w:lang w:val="ru-RU"/>
          </w:rPr>
          <w:t xml:space="preserve">«Электрические сети до энергопринимающих устройств </w:t>
        </w:r>
      </w:p>
      <w:p w:rsidR="00DA2564" w:rsidRDefault="005A7FBD">
        <w:pPr>
          <w:pStyle w:val="a9"/>
          <w:jc w:val="center"/>
          <w:rPr>
            <w:color w:val="00B0F0"/>
            <w:sz w:val="22"/>
            <w:szCs w:val="22"/>
            <w:lang w:val="ru-RU"/>
          </w:rPr>
        </w:pPr>
        <w:r>
          <w:rPr>
            <w:color w:val="00B0F0"/>
            <w:sz w:val="22"/>
            <w:szCs w:val="22"/>
            <w:lang w:val="ru-RU"/>
          </w:rPr>
          <w:t xml:space="preserve">ООО «Цифровые технологии» </w:t>
        </w:r>
      </w:p>
      <w:p w:rsidR="00DA2564" w:rsidRDefault="005A7FBD">
        <w:pPr>
          <w:pStyle w:val="a9"/>
          <w:jc w:val="center"/>
          <w:rPr>
            <w:b/>
            <w:color w:val="00B0F0"/>
            <w:sz w:val="28"/>
            <w:szCs w:val="28"/>
            <w:lang w:val="ru-RU"/>
          </w:rPr>
        </w:pPr>
        <w:r>
          <w:rPr>
            <w:color w:val="00B0F0"/>
            <w:sz w:val="22"/>
            <w:szCs w:val="22"/>
            <w:lang w:val="ru-RU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64" w:rsidRDefault="00DA2564">
    <w:pPr>
      <w:pStyle w:val="a9"/>
    </w:pPr>
  </w:p>
  <w:p w:rsidR="00DA2564" w:rsidRDefault="00DA25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7A4272"/>
    <w:lvl w:ilvl="0">
      <w:numFmt w:val="bullet"/>
      <w:lvlText w:val="*"/>
      <w:lvlJc w:val="left"/>
    </w:lvl>
  </w:abstractNum>
  <w:abstractNum w:abstractNumId="1" w15:restartNumberingAfterBreak="0">
    <w:nsid w:val="03452C46"/>
    <w:multiLevelType w:val="hybridMultilevel"/>
    <w:tmpl w:val="552A8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301B0"/>
    <w:multiLevelType w:val="multilevel"/>
    <w:tmpl w:val="F9667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1C6838"/>
    <w:multiLevelType w:val="hybridMultilevel"/>
    <w:tmpl w:val="52FA94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46D2"/>
    <w:multiLevelType w:val="hybridMultilevel"/>
    <w:tmpl w:val="6846AF2A"/>
    <w:lvl w:ilvl="0" w:tplc="A50AE29A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5" w15:restartNumberingAfterBreak="0">
    <w:nsid w:val="0F6B350F"/>
    <w:multiLevelType w:val="hybridMultilevel"/>
    <w:tmpl w:val="971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5093"/>
    <w:multiLevelType w:val="hybridMultilevel"/>
    <w:tmpl w:val="8300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5873"/>
    <w:multiLevelType w:val="hybridMultilevel"/>
    <w:tmpl w:val="FD4A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30F4"/>
    <w:multiLevelType w:val="hybridMultilevel"/>
    <w:tmpl w:val="8F5657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93EF6"/>
    <w:multiLevelType w:val="hybridMultilevel"/>
    <w:tmpl w:val="2FD2E1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8A2FB7"/>
    <w:multiLevelType w:val="hybridMultilevel"/>
    <w:tmpl w:val="71624872"/>
    <w:lvl w:ilvl="0" w:tplc="A50AE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5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250908"/>
    <w:multiLevelType w:val="hybridMultilevel"/>
    <w:tmpl w:val="A85A1AEA"/>
    <w:lvl w:ilvl="0" w:tplc="CA7EF0E2">
      <w:start w:val="1"/>
      <w:numFmt w:val="decimal"/>
      <w:lvlText w:val="%1."/>
      <w:lvlJc w:val="left"/>
      <w:pPr>
        <w:ind w:left="69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3" w15:restartNumberingAfterBreak="0">
    <w:nsid w:val="18F34DB2"/>
    <w:multiLevelType w:val="hybridMultilevel"/>
    <w:tmpl w:val="BAA00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607CCC"/>
    <w:multiLevelType w:val="multilevel"/>
    <w:tmpl w:val="F4120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684FA2"/>
    <w:multiLevelType w:val="hybridMultilevel"/>
    <w:tmpl w:val="FAE27584"/>
    <w:lvl w:ilvl="0" w:tplc="C9822BB6">
      <w:start w:val="1"/>
      <w:numFmt w:val="decimal"/>
      <w:lvlText w:val="%1."/>
      <w:lvlJc w:val="left"/>
      <w:pPr>
        <w:ind w:left="785" w:hanging="360"/>
      </w:pPr>
      <w:rPr>
        <w:rFonts w:ascii="Times New Roman" w:eastAsia="Lucida Sans Unicode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8E92E14"/>
    <w:multiLevelType w:val="multilevel"/>
    <w:tmpl w:val="651A14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5A2574"/>
    <w:multiLevelType w:val="multilevel"/>
    <w:tmpl w:val="142C39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2A4B4634"/>
    <w:multiLevelType w:val="multilevel"/>
    <w:tmpl w:val="A0F6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E315117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841AE4"/>
    <w:multiLevelType w:val="hybridMultilevel"/>
    <w:tmpl w:val="3A4C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F2442"/>
    <w:multiLevelType w:val="hybridMultilevel"/>
    <w:tmpl w:val="854A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44673"/>
    <w:multiLevelType w:val="hybridMultilevel"/>
    <w:tmpl w:val="E4FA0012"/>
    <w:lvl w:ilvl="0" w:tplc="8F22A0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40FD0"/>
    <w:multiLevelType w:val="hybridMultilevel"/>
    <w:tmpl w:val="959AA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84CDD"/>
    <w:multiLevelType w:val="multilevel"/>
    <w:tmpl w:val="F9CE0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B2F130C"/>
    <w:multiLevelType w:val="hybridMultilevel"/>
    <w:tmpl w:val="5FFE0A5A"/>
    <w:lvl w:ilvl="0" w:tplc="041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6" w15:restartNumberingAfterBreak="0">
    <w:nsid w:val="506034BE"/>
    <w:multiLevelType w:val="hybridMultilevel"/>
    <w:tmpl w:val="3782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771D"/>
    <w:multiLevelType w:val="hybridMultilevel"/>
    <w:tmpl w:val="DCF6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7D71"/>
    <w:multiLevelType w:val="hybridMultilevel"/>
    <w:tmpl w:val="397EF438"/>
    <w:lvl w:ilvl="0" w:tplc="9CAA90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23DFE"/>
    <w:multiLevelType w:val="hybridMultilevel"/>
    <w:tmpl w:val="C8AE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51E37"/>
    <w:multiLevelType w:val="multilevel"/>
    <w:tmpl w:val="1370E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62C47"/>
    <w:multiLevelType w:val="hybridMultilevel"/>
    <w:tmpl w:val="D882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55536"/>
    <w:multiLevelType w:val="hybridMultilevel"/>
    <w:tmpl w:val="EEA27A1A"/>
    <w:lvl w:ilvl="0" w:tplc="2D323502">
      <w:start w:val="1"/>
      <w:numFmt w:val="decimal"/>
      <w:lvlText w:val="%1."/>
      <w:lvlJc w:val="left"/>
      <w:pPr>
        <w:ind w:left="5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3" w15:restartNumberingAfterBreak="0">
    <w:nsid w:val="66213A58"/>
    <w:multiLevelType w:val="hybridMultilevel"/>
    <w:tmpl w:val="2B5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242B6"/>
    <w:multiLevelType w:val="multilevel"/>
    <w:tmpl w:val="8CBC9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AA186D"/>
    <w:multiLevelType w:val="multilevel"/>
    <w:tmpl w:val="63BEE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color w:val="FF0000"/>
      </w:rPr>
    </w:lvl>
  </w:abstractNum>
  <w:abstractNum w:abstractNumId="36" w15:restartNumberingAfterBreak="0">
    <w:nsid w:val="74AE1823"/>
    <w:multiLevelType w:val="hybridMultilevel"/>
    <w:tmpl w:val="F3F0CEBE"/>
    <w:lvl w:ilvl="0" w:tplc="4D18FEFE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7" w15:restartNumberingAfterBreak="0">
    <w:nsid w:val="75D42388"/>
    <w:multiLevelType w:val="multilevel"/>
    <w:tmpl w:val="5D643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6BB2AE6"/>
    <w:multiLevelType w:val="hybridMultilevel"/>
    <w:tmpl w:val="304E833C"/>
    <w:lvl w:ilvl="0" w:tplc="347273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D1190"/>
    <w:multiLevelType w:val="hybridMultilevel"/>
    <w:tmpl w:val="B37AC2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28"/>
  </w:num>
  <w:num w:numId="4">
    <w:abstractNumId w:val="6"/>
  </w:num>
  <w:num w:numId="5">
    <w:abstractNumId w:val="21"/>
  </w:num>
  <w:num w:numId="6">
    <w:abstractNumId w:val="5"/>
  </w:num>
  <w:num w:numId="7">
    <w:abstractNumId w:val="27"/>
  </w:num>
  <w:num w:numId="8">
    <w:abstractNumId w:val="23"/>
  </w:num>
  <w:num w:numId="9">
    <w:abstractNumId w:val="22"/>
  </w:num>
  <w:num w:numId="10">
    <w:abstractNumId w:val="29"/>
  </w:num>
  <w:num w:numId="11">
    <w:abstractNumId w:val="37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6"/>
  </w:num>
  <w:num w:numId="17">
    <w:abstractNumId w:val="32"/>
  </w:num>
  <w:num w:numId="18">
    <w:abstractNumId w:val="34"/>
  </w:num>
  <w:num w:numId="19">
    <w:abstractNumId w:val="25"/>
  </w:num>
  <w:num w:numId="20">
    <w:abstractNumId w:val="13"/>
  </w:num>
  <w:num w:numId="21">
    <w:abstractNumId w:val="3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5"/>
  </w:num>
  <w:num w:numId="25">
    <w:abstractNumId w:val="30"/>
  </w:num>
  <w:num w:numId="26">
    <w:abstractNumId w:val="10"/>
  </w:num>
  <w:num w:numId="27">
    <w:abstractNumId w:val="4"/>
  </w:num>
  <w:num w:numId="28">
    <w:abstractNumId w:val="19"/>
  </w:num>
  <w:num w:numId="29">
    <w:abstractNumId w:val="15"/>
  </w:num>
  <w:num w:numId="30">
    <w:abstractNumId w:val="11"/>
  </w:num>
  <w:num w:numId="31">
    <w:abstractNumId w:val="16"/>
  </w:num>
  <w:num w:numId="32">
    <w:abstractNumId w:val="20"/>
  </w:num>
  <w:num w:numId="33">
    <w:abstractNumId w:val="2"/>
  </w:num>
  <w:num w:numId="34">
    <w:abstractNumId w:val="24"/>
  </w:num>
  <w:num w:numId="35">
    <w:abstractNumId w:val="14"/>
  </w:num>
  <w:num w:numId="36">
    <w:abstractNumId w:val="33"/>
  </w:num>
  <w:num w:numId="37">
    <w:abstractNumId w:val="17"/>
  </w:num>
  <w:num w:numId="38">
    <w:abstractNumId w:val="18"/>
  </w:num>
  <w:num w:numId="39">
    <w:abstractNumId w:val="8"/>
  </w:num>
  <w:num w:numId="40">
    <w:abstractNumId w:val="39"/>
  </w:num>
  <w:num w:numId="41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4"/>
    <w:rsid w:val="003B6A81"/>
    <w:rsid w:val="005A7FBD"/>
    <w:rsid w:val="007F28F4"/>
    <w:rsid w:val="0081508C"/>
    <w:rsid w:val="00927AC3"/>
    <w:rsid w:val="00AE3C34"/>
    <w:rsid w:val="00D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7C411BD-A5C4-4C47-BBA6-60A210BB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widowControl/>
      <w:suppressAutoHyphens w:val="0"/>
      <w:ind w:left="567" w:right="284" w:firstLine="567"/>
      <w:jc w:val="center"/>
      <w:outlineLvl w:val="1"/>
    </w:pPr>
    <w:rPr>
      <w:rFonts w:eastAsia="Times New Roman" w:cs="Times New Roman"/>
      <w:b/>
      <w:color w:val="auto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pPr>
      <w:suppressLineNumbers/>
    </w:pPr>
  </w:style>
  <w:style w:type="paragraph" w:customStyle="1" w:styleId="Default">
    <w:name w:val="Default"/>
    <w:basedOn w:val="a"/>
    <w:pPr>
      <w:autoSpaceDE w:val="0"/>
    </w:pPr>
    <w:rPr>
      <w:rFonts w:eastAsia="Times New Roman" w:cs="Times New Roman"/>
    </w:rPr>
  </w:style>
  <w:style w:type="paragraph" w:styleId="a4">
    <w:name w:val="Body Text"/>
    <w:aliases w:val="Заг1,BO,ID,body indent,ändrad, ändrad,EHPT,Body Text2"/>
    <w:basedOn w:val="a"/>
    <w:link w:val="a5"/>
    <w:pPr>
      <w:widowControl/>
      <w:suppressAutoHyphens w:val="0"/>
      <w:spacing w:after="120"/>
      <w:jc w:val="both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a5">
    <w:name w:val="Основной текст Знак"/>
    <w:aliases w:val="Заг1 Знак,BO Знак,ID Знак,body indent Знак,ändrad Знак, ändrad Знак,EHPT Знак,Body Text2 Знак"/>
    <w:basedOn w:val="a0"/>
    <w:link w:val="a4"/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pPr>
      <w:widowControl/>
      <w:suppressAutoHyphens w:val="0"/>
      <w:spacing w:after="60"/>
      <w:ind w:left="720"/>
      <w:contextualSpacing/>
      <w:jc w:val="both"/>
    </w:pPr>
    <w:rPr>
      <w:rFonts w:eastAsia="Times New Roman" w:cs="Times New Roman"/>
      <w:color w:val="auto"/>
      <w:lang w:val="ru-RU" w:eastAsia="ru-RU" w:bidi="ar-SA"/>
    </w:rPr>
  </w:style>
  <w:style w:type="paragraph" w:styleId="a7">
    <w:name w:val="Plain Text"/>
    <w:basedOn w:val="a"/>
    <w:link w:val="a8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8">
    <w:name w:val="Текст Знак"/>
    <w:basedOn w:val="a0"/>
    <w:link w:val="a7"/>
    <w:rPr>
      <w:rFonts w:ascii="Courier New" w:eastAsia="Times New Roman" w:hAnsi="Courier New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20">
    <w:name w:val="Заголовок 2 Знак"/>
    <w:basedOn w:val="a0"/>
    <w:link w:val="2"/>
    <w:rPr>
      <w:rFonts w:eastAsia="Times New Roman"/>
      <w:b/>
      <w:sz w:val="24"/>
    </w:rPr>
  </w:style>
  <w:style w:type="table" w:styleId="af">
    <w:name w:val="Table Grid"/>
    <w:basedOn w:val="a1"/>
    <w:pPr>
      <w:ind w:left="567" w:right="397" w:firstLine="567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</w:style>
  <w:style w:type="paragraph" w:customStyle="1" w:styleId="Style6">
    <w:name w:val="Style6"/>
    <w:basedOn w:val="a"/>
    <w:uiPriority w:val="99"/>
    <w:pPr>
      <w:suppressAutoHyphens w:val="0"/>
      <w:autoSpaceDE w:val="0"/>
      <w:autoSpaceDN w:val="0"/>
      <w:adjustRightInd w:val="0"/>
      <w:spacing w:line="268" w:lineRule="exact"/>
      <w:ind w:firstLine="134"/>
      <w:jc w:val="both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suppressAutoHyphens w:val="0"/>
      <w:autoSpaceDE w:val="0"/>
      <w:autoSpaceDN w:val="0"/>
      <w:adjustRightInd w:val="0"/>
    </w:pPr>
    <w:rPr>
      <w:rFonts w:eastAsia="Times New Roman" w:cs="Times New Roman"/>
      <w:color w:val="auto"/>
      <w:lang w:val="ru-RU" w:eastAsia="ru-RU" w:bidi="ar-SA"/>
    </w:rPr>
  </w:style>
  <w:style w:type="paragraph" w:customStyle="1" w:styleId="Style3">
    <w:name w:val="Style3"/>
    <w:basedOn w:val="a"/>
    <w:uiPriority w:val="99"/>
    <w:pPr>
      <w:suppressAutoHyphens w:val="0"/>
      <w:autoSpaceDE w:val="0"/>
      <w:autoSpaceDN w:val="0"/>
      <w:adjustRightInd w:val="0"/>
      <w:spacing w:line="237" w:lineRule="exact"/>
      <w:ind w:firstLine="139"/>
      <w:jc w:val="both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No Spacing"/>
    <w:uiPriority w:val="1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pPr>
      <w:suppressAutoHyphens w:val="0"/>
      <w:autoSpaceDE w:val="0"/>
      <w:autoSpaceDN w:val="0"/>
      <w:adjustRightInd w:val="0"/>
      <w:spacing w:line="274" w:lineRule="exact"/>
    </w:pPr>
    <w:rPr>
      <w:rFonts w:eastAsiaTheme="minorEastAsia" w:cs="Times New Roman"/>
      <w:color w:val="auto"/>
      <w:lang w:val="ru-RU" w:eastAsia="ru-RU" w:bidi="ar-SA"/>
    </w:rPr>
  </w:style>
  <w:style w:type="paragraph" w:customStyle="1" w:styleId="Style5">
    <w:name w:val="Style5"/>
    <w:basedOn w:val="a"/>
    <w:uiPriority w:val="99"/>
    <w:pPr>
      <w:suppressAutoHyphens w:val="0"/>
      <w:autoSpaceDE w:val="0"/>
      <w:autoSpaceDN w:val="0"/>
      <w:adjustRightInd w:val="0"/>
      <w:spacing w:line="264" w:lineRule="exact"/>
      <w:ind w:firstLine="139"/>
      <w:jc w:val="both"/>
    </w:pPr>
    <w:rPr>
      <w:rFonts w:eastAsiaTheme="minorEastAsia" w:cs="Times New Roman"/>
      <w:color w:val="auto"/>
      <w:lang w:val="ru-RU" w:eastAsia="ru-RU" w:bidi="ar-SA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pPr>
      <w:suppressAutoHyphens w:val="0"/>
      <w:autoSpaceDE w:val="0"/>
      <w:autoSpaceDN w:val="0"/>
      <w:adjustRightInd w:val="0"/>
      <w:spacing w:line="278" w:lineRule="exact"/>
      <w:ind w:firstLine="144"/>
    </w:pPr>
    <w:rPr>
      <w:rFonts w:eastAsiaTheme="minorEastAsia" w:cs="Times New Roman"/>
      <w:color w:val="auto"/>
      <w:lang w:val="ru-RU" w:eastAsia="ru-RU" w:bidi="ar-SA"/>
    </w:rPr>
  </w:style>
  <w:style w:type="paragraph" w:customStyle="1" w:styleId="Style10">
    <w:name w:val="Style10"/>
    <w:basedOn w:val="a"/>
    <w:uiPriority w:val="99"/>
    <w:pPr>
      <w:suppressAutoHyphens w:val="0"/>
      <w:autoSpaceDE w:val="0"/>
      <w:autoSpaceDN w:val="0"/>
      <w:adjustRightInd w:val="0"/>
      <w:spacing w:line="278" w:lineRule="exact"/>
      <w:ind w:firstLine="365"/>
    </w:pPr>
    <w:rPr>
      <w:rFonts w:eastAsiaTheme="minorEastAsia" w:cs="Times New Roman"/>
      <w:color w:val="auto"/>
      <w:lang w:val="ru-RU" w:eastAsia="ru-RU" w:bidi="ar-SA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</w:style>
  <w:style w:type="paragraph" w:customStyle="1" w:styleId="10">
    <w:name w:val="Абзац списка1"/>
    <w:basedOn w:val="a"/>
    <w:pPr>
      <w:widowControl/>
      <w:suppressAutoHyphens w:val="0"/>
      <w:spacing w:after="60"/>
      <w:ind w:left="720"/>
      <w:contextualSpacing/>
      <w:jc w:val="both"/>
    </w:pPr>
    <w:rPr>
      <w:rFonts w:eastAsia="Times New Roman" w:cs="Times New Roman"/>
      <w:color w:val="auto"/>
      <w:lang w:val="ru-RU" w:eastAsia="ru-RU" w:bidi="ar-SA"/>
    </w:rPr>
  </w:style>
  <w:style w:type="numbering" w:customStyle="1" w:styleId="1">
    <w:name w:val="Стиль1"/>
    <w:uiPriority w:val="99"/>
    <w:pPr>
      <w:numPr>
        <w:numId w:val="28"/>
      </w:numPr>
    </w:pPr>
  </w:style>
  <w:style w:type="character" w:styleId="af2">
    <w:name w:val="page number"/>
    <w:basedOn w:val="a0"/>
  </w:style>
  <w:style w:type="character" w:customStyle="1" w:styleId="apple-converted-space">
    <w:name w:val="apple-converted-space"/>
    <w:basedOn w:val="a0"/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f4">
    <w:name w:val="footnote text"/>
    <w:basedOn w:val="a"/>
    <w:link w:val="af5"/>
    <w:uiPriority w:val="99"/>
    <w:semiHidden/>
    <w:unhideWhenUsed/>
    <w:pPr>
      <w:widowControl/>
    </w:pPr>
    <w:rPr>
      <w:rFonts w:eastAsia="Times New Roman" w:cs="Times New Roman"/>
      <w:color w:val="auto"/>
      <w:sz w:val="20"/>
      <w:szCs w:val="20"/>
      <w:lang w:val="ru-RU" w:eastAsia="ar-SA" w:bidi="ar-SA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eastAsia="Times New Roman"/>
      <w:lang w:eastAsia="ar-SA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C739-85A4-4302-8B40-20CFDF76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gkulakova</dc:creator>
  <cp:keywords/>
  <dc:description/>
  <cp:lastModifiedBy>Маслова Лариса Николаевна</cp:lastModifiedBy>
  <cp:revision>11</cp:revision>
  <cp:lastPrinted>2019-08-22T07:33:00Z</cp:lastPrinted>
  <dcterms:created xsi:type="dcterms:W3CDTF">2019-07-23T07:35:00Z</dcterms:created>
  <dcterms:modified xsi:type="dcterms:W3CDTF">2019-08-22T07:39:00Z</dcterms:modified>
</cp:coreProperties>
</file>